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277A7" w14:textId="77777777" w:rsidR="00D70184" w:rsidRPr="00D70184" w:rsidRDefault="00D70184" w:rsidP="00DF6C74">
      <w:pPr>
        <w:jc w:val="center"/>
        <w:rPr>
          <w:rFonts w:ascii="Arial" w:hAnsi="Arial" w:cs="Arial"/>
          <w:b/>
          <w:sz w:val="20"/>
        </w:rPr>
      </w:pPr>
      <w:r w:rsidRPr="00D70184">
        <w:rPr>
          <w:rFonts w:ascii="Arial" w:hAnsi="Arial" w:cs="Arial"/>
          <w:b/>
          <w:sz w:val="20"/>
        </w:rPr>
        <w:t>KKO INTERNATIONAL</w:t>
      </w:r>
    </w:p>
    <w:p w14:paraId="56D5185C" w14:textId="77777777" w:rsidR="00D70184" w:rsidRPr="00D70184" w:rsidRDefault="00D70184" w:rsidP="00DF6C74">
      <w:pPr>
        <w:jc w:val="center"/>
        <w:rPr>
          <w:rFonts w:ascii="Arial" w:hAnsi="Arial" w:cs="Arial"/>
          <w:sz w:val="20"/>
        </w:rPr>
      </w:pPr>
      <w:r w:rsidRPr="00D70184">
        <w:rPr>
          <w:rFonts w:ascii="Arial" w:hAnsi="Arial" w:cs="Arial"/>
          <w:sz w:val="20"/>
        </w:rPr>
        <w:t>Société An</w:t>
      </w:r>
      <w:r w:rsidR="005D7879">
        <w:rPr>
          <w:rFonts w:ascii="Arial" w:hAnsi="Arial" w:cs="Arial"/>
          <w:sz w:val="20"/>
        </w:rPr>
        <w:t>onyme au capital de 12.197.691,30</w:t>
      </w:r>
      <w:r w:rsidRPr="00D70184">
        <w:rPr>
          <w:rFonts w:ascii="Arial" w:hAnsi="Arial" w:cs="Arial"/>
          <w:sz w:val="20"/>
        </w:rPr>
        <w:t xml:space="preserve"> euros</w:t>
      </w:r>
    </w:p>
    <w:p w14:paraId="48146154" w14:textId="77777777" w:rsidR="00D70184" w:rsidRPr="00D70184" w:rsidRDefault="00D70184" w:rsidP="00DF6C74">
      <w:pPr>
        <w:jc w:val="center"/>
        <w:rPr>
          <w:rFonts w:ascii="Arial" w:hAnsi="Arial" w:cs="Arial"/>
          <w:sz w:val="20"/>
        </w:rPr>
      </w:pPr>
      <w:r w:rsidRPr="00D70184">
        <w:rPr>
          <w:rFonts w:ascii="Arial" w:hAnsi="Arial" w:cs="Arial"/>
          <w:sz w:val="20"/>
        </w:rPr>
        <w:t>Siège social : 9 avenue Bugeaud, 75116 Paris</w:t>
      </w:r>
    </w:p>
    <w:p w14:paraId="50E6C089" w14:textId="77777777" w:rsidR="00D70184" w:rsidRPr="00D70184" w:rsidRDefault="00D70184" w:rsidP="00DF6C74">
      <w:pPr>
        <w:jc w:val="center"/>
        <w:rPr>
          <w:rFonts w:ascii="Arial" w:hAnsi="Arial" w:cs="Arial"/>
          <w:sz w:val="20"/>
        </w:rPr>
      </w:pPr>
      <w:r w:rsidRPr="00D70184">
        <w:rPr>
          <w:rFonts w:ascii="Arial" w:hAnsi="Arial" w:cs="Arial"/>
          <w:sz w:val="20"/>
        </w:rPr>
        <w:t>841 862 287 RCS Paris</w:t>
      </w:r>
    </w:p>
    <w:p w14:paraId="3F752CA0" w14:textId="77777777" w:rsidR="00D846F4" w:rsidRPr="003D1FC2" w:rsidRDefault="00D846F4" w:rsidP="00DF6C74">
      <w:pPr>
        <w:jc w:val="center"/>
        <w:rPr>
          <w:rFonts w:ascii="Arial" w:hAnsi="Arial" w:cs="Arial"/>
          <w:kern w:val="20"/>
          <w:sz w:val="20"/>
        </w:rPr>
      </w:pPr>
    </w:p>
    <w:p w14:paraId="0D3DBC56" w14:textId="77777777" w:rsidR="00D846F4" w:rsidRPr="003D1FC2" w:rsidRDefault="00D846F4" w:rsidP="00DF6C74">
      <w:pPr>
        <w:jc w:val="center"/>
        <w:rPr>
          <w:rFonts w:ascii="Arial" w:hAnsi="Arial" w:cs="Arial"/>
          <w:kern w:val="20"/>
          <w:sz w:val="20"/>
        </w:rPr>
      </w:pPr>
      <w:r w:rsidRPr="003D1FC2">
        <w:rPr>
          <w:rFonts w:ascii="Arial" w:hAnsi="Arial" w:cs="Arial"/>
          <w:kern w:val="20"/>
          <w:sz w:val="20"/>
        </w:rPr>
        <w:t>(</w:t>
      </w:r>
      <w:proofErr w:type="gramStart"/>
      <w:r w:rsidRPr="003D1FC2">
        <w:rPr>
          <w:rFonts w:ascii="Arial" w:hAnsi="Arial" w:cs="Arial"/>
          <w:kern w:val="20"/>
          <w:sz w:val="20"/>
        </w:rPr>
        <w:t>la</w:t>
      </w:r>
      <w:proofErr w:type="gramEnd"/>
      <w:r w:rsidRPr="003D1FC2">
        <w:rPr>
          <w:rFonts w:ascii="Arial" w:hAnsi="Arial" w:cs="Arial"/>
          <w:kern w:val="20"/>
          <w:sz w:val="20"/>
        </w:rPr>
        <w:t xml:space="preserve"> « </w:t>
      </w:r>
      <w:r w:rsidRPr="003D1FC2">
        <w:rPr>
          <w:rFonts w:ascii="Arial" w:hAnsi="Arial" w:cs="Arial"/>
          <w:b/>
          <w:kern w:val="20"/>
          <w:sz w:val="20"/>
        </w:rPr>
        <w:t>Société</w:t>
      </w:r>
      <w:r w:rsidRPr="003D1FC2">
        <w:rPr>
          <w:rFonts w:ascii="Arial" w:hAnsi="Arial" w:cs="Arial"/>
          <w:kern w:val="20"/>
          <w:sz w:val="20"/>
        </w:rPr>
        <w:t> »)</w:t>
      </w:r>
    </w:p>
    <w:p w14:paraId="146EEA4A" w14:textId="77777777" w:rsidR="00D846F4" w:rsidRPr="003D1FC2" w:rsidRDefault="00D846F4" w:rsidP="00DF6C74">
      <w:pPr>
        <w:pStyle w:val="RATitrePolyActe"/>
        <w:jc w:val="left"/>
        <w:rPr>
          <w:rFonts w:ascii="Arial" w:hAnsi="Arial" w:cs="Arial"/>
          <w:sz w:val="20"/>
        </w:rPr>
      </w:pPr>
    </w:p>
    <w:p w14:paraId="7E1ED173" w14:textId="77777777" w:rsidR="00D846F4" w:rsidRPr="003D1FC2" w:rsidRDefault="00D846F4" w:rsidP="00DF6C74">
      <w:pPr>
        <w:pStyle w:val="RATitrePolyActe"/>
        <w:jc w:val="left"/>
        <w:rPr>
          <w:rFonts w:ascii="Arial" w:hAnsi="Arial" w:cs="Arial"/>
          <w:sz w:val="20"/>
        </w:rPr>
      </w:pPr>
    </w:p>
    <w:p w14:paraId="7F562E4C" w14:textId="3CDD8E63" w:rsidR="00D846F4" w:rsidRPr="003D1FC2" w:rsidRDefault="00F32D38" w:rsidP="00DF6C74">
      <w:pPr>
        <w:pStyle w:val="Titre4"/>
        <w:spacing w:before="0" w:after="0"/>
        <w:jc w:val="center"/>
        <w:rPr>
          <w:rFonts w:ascii="Arial" w:hAnsi="Arial" w:cs="Arial"/>
          <w:sz w:val="20"/>
          <w:szCs w:val="20"/>
          <w:u w:val="single"/>
        </w:rPr>
      </w:pPr>
      <w:r>
        <w:rPr>
          <w:rFonts w:ascii="Arial" w:hAnsi="Arial" w:cs="Arial"/>
          <w:sz w:val="20"/>
          <w:szCs w:val="20"/>
          <w:u w:val="single"/>
        </w:rPr>
        <w:t>AVIS DE CONVOCATION</w:t>
      </w:r>
    </w:p>
    <w:p w14:paraId="283B0DD3" w14:textId="77777777" w:rsidR="00D846F4" w:rsidRPr="003D1FC2" w:rsidRDefault="00D846F4" w:rsidP="00DF6C74">
      <w:pPr>
        <w:tabs>
          <w:tab w:val="left" w:pos="8789"/>
        </w:tabs>
        <w:ind w:right="821"/>
        <w:rPr>
          <w:rFonts w:ascii="Arial" w:hAnsi="Arial" w:cs="Arial"/>
          <w:sz w:val="20"/>
        </w:rPr>
      </w:pPr>
    </w:p>
    <w:p w14:paraId="7C8E26FF" w14:textId="0038F580" w:rsidR="00D846F4" w:rsidRDefault="00D846F4" w:rsidP="00DF6C74">
      <w:pPr>
        <w:autoSpaceDE w:val="0"/>
        <w:autoSpaceDN w:val="0"/>
        <w:adjustRightInd w:val="0"/>
        <w:rPr>
          <w:rFonts w:ascii="Arial" w:hAnsi="Arial" w:cs="Arial"/>
          <w:sz w:val="20"/>
        </w:rPr>
      </w:pPr>
      <w:r w:rsidRPr="00D0250C">
        <w:rPr>
          <w:rFonts w:ascii="Arial" w:hAnsi="Arial" w:cs="Arial"/>
          <w:sz w:val="20"/>
        </w:rPr>
        <w:t>Mesdames et Messieurs les actionnaires de la Soc</w:t>
      </w:r>
      <w:r w:rsidR="00F32D38">
        <w:rPr>
          <w:rFonts w:ascii="Arial" w:hAnsi="Arial" w:cs="Arial"/>
          <w:sz w:val="20"/>
        </w:rPr>
        <w:t>iété sont informés qu’ils sont</w:t>
      </w:r>
      <w:r w:rsidRPr="00D0250C">
        <w:rPr>
          <w:rFonts w:ascii="Arial" w:hAnsi="Arial" w:cs="Arial"/>
          <w:sz w:val="20"/>
        </w:rPr>
        <w:t xml:space="preserve"> convoqués en Assemblée Générale Mixte, le </w:t>
      </w:r>
      <w:r w:rsidR="00526F22">
        <w:rPr>
          <w:rFonts w:ascii="Arial" w:hAnsi="Arial" w:cs="Arial"/>
          <w:b/>
          <w:sz w:val="20"/>
        </w:rPr>
        <w:t>30</w:t>
      </w:r>
      <w:r w:rsidR="00F3004B" w:rsidRPr="00D0250C">
        <w:rPr>
          <w:rFonts w:ascii="Arial" w:hAnsi="Arial" w:cs="Arial"/>
          <w:b/>
          <w:sz w:val="20"/>
        </w:rPr>
        <w:t xml:space="preserve"> </w:t>
      </w:r>
      <w:r w:rsidR="0013453C">
        <w:rPr>
          <w:rFonts w:ascii="Arial" w:hAnsi="Arial" w:cs="Arial"/>
          <w:b/>
          <w:sz w:val="20"/>
        </w:rPr>
        <w:t>juin 2022</w:t>
      </w:r>
      <w:r w:rsidR="00526F22">
        <w:rPr>
          <w:rFonts w:ascii="Arial" w:hAnsi="Arial" w:cs="Arial"/>
          <w:b/>
          <w:sz w:val="20"/>
        </w:rPr>
        <w:t xml:space="preserve"> </w:t>
      </w:r>
      <w:r w:rsidRPr="00D0250C">
        <w:rPr>
          <w:rFonts w:ascii="Arial" w:hAnsi="Arial" w:cs="Arial"/>
          <w:b/>
          <w:sz w:val="20"/>
        </w:rPr>
        <w:t xml:space="preserve">à </w:t>
      </w:r>
      <w:r w:rsidR="007A2EE1">
        <w:rPr>
          <w:rFonts w:ascii="Arial" w:hAnsi="Arial" w:cs="Arial"/>
          <w:b/>
          <w:sz w:val="20"/>
        </w:rPr>
        <w:t>11</w:t>
      </w:r>
      <w:r w:rsidRPr="00D0250C">
        <w:rPr>
          <w:rFonts w:ascii="Arial" w:hAnsi="Arial" w:cs="Arial"/>
          <w:b/>
          <w:sz w:val="20"/>
        </w:rPr>
        <w:t xml:space="preserve"> </w:t>
      </w:r>
      <w:r w:rsidR="00D0250C">
        <w:rPr>
          <w:rFonts w:ascii="Arial" w:hAnsi="Arial" w:cs="Arial"/>
          <w:b/>
          <w:sz w:val="20"/>
        </w:rPr>
        <w:t xml:space="preserve">heures, </w:t>
      </w:r>
      <w:r w:rsidRPr="00D0250C">
        <w:rPr>
          <w:rFonts w:ascii="Arial" w:hAnsi="Arial" w:cs="Arial"/>
          <w:sz w:val="20"/>
        </w:rPr>
        <w:t>au siège social, à l'effet de délibé</w:t>
      </w:r>
      <w:r w:rsidR="00EE6E9C">
        <w:rPr>
          <w:rFonts w:ascii="Arial" w:hAnsi="Arial" w:cs="Arial"/>
          <w:sz w:val="20"/>
        </w:rPr>
        <w:t>rer sur l'ordre du jour suivant </w:t>
      </w:r>
      <w:r w:rsidRPr="00D0250C">
        <w:rPr>
          <w:rFonts w:ascii="Arial" w:hAnsi="Arial" w:cs="Arial"/>
          <w:sz w:val="20"/>
        </w:rPr>
        <w:t>:</w:t>
      </w:r>
      <w:r w:rsidRPr="003D1FC2">
        <w:rPr>
          <w:rFonts w:ascii="Arial" w:hAnsi="Arial" w:cs="Arial"/>
          <w:sz w:val="20"/>
        </w:rPr>
        <w:t xml:space="preserve"> </w:t>
      </w:r>
    </w:p>
    <w:p w14:paraId="747B128C" w14:textId="77777777" w:rsidR="00526F22" w:rsidRPr="003D1FC2" w:rsidRDefault="00526F22" w:rsidP="00DF6C74">
      <w:pPr>
        <w:autoSpaceDE w:val="0"/>
        <w:autoSpaceDN w:val="0"/>
        <w:adjustRightInd w:val="0"/>
        <w:rPr>
          <w:rFonts w:ascii="Arial" w:hAnsi="Arial" w:cs="Arial"/>
          <w:sz w:val="20"/>
        </w:rPr>
      </w:pPr>
    </w:p>
    <w:p w14:paraId="30838643" w14:textId="77777777" w:rsidR="00D846F4" w:rsidRPr="003D1FC2" w:rsidRDefault="00D846F4" w:rsidP="00DF6C74">
      <w:pPr>
        <w:rPr>
          <w:rFonts w:ascii="Arial" w:hAnsi="Arial" w:cs="Arial"/>
          <w:sz w:val="20"/>
        </w:rPr>
      </w:pPr>
    </w:p>
    <w:p w14:paraId="40C2867E" w14:textId="0C6DCE2C" w:rsidR="00D846F4" w:rsidRPr="00526F22" w:rsidRDefault="00D846F4" w:rsidP="00526F22">
      <w:pPr>
        <w:jc w:val="center"/>
        <w:rPr>
          <w:rFonts w:ascii="Arial" w:hAnsi="Arial" w:cs="Arial"/>
          <w:b/>
          <w:sz w:val="20"/>
          <w:u w:val="single"/>
        </w:rPr>
      </w:pPr>
      <w:r w:rsidRPr="003D1FC2">
        <w:rPr>
          <w:rFonts w:ascii="Arial" w:hAnsi="Arial" w:cs="Arial"/>
          <w:b/>
          <w:sz w:val="20"/>
          <w:u w:val="single"/>
        </w:rPr>
        <w:t>ORDRE DU JOUR</w:t>
      </w:r>
    </w:p>
    <w:p w14:paraId="01AE5490" w14:textId="77777777" w:rsidR="00D846F4" w:rsidRPr="003D1FC2" w:rsidRDefault="00D846F4" w:rsidP="00DF6C74">
      <w:pPr>
        <w:rPr>
          <w:rFonts w:ascii="Arial" w:hAnsi="Arial" w:cs="Arial"/>
          <w:sz w:val="20"/>
        </w:rPr>
      </w:pPr>
    </w:p>
    <w:p w14:paraId="17EEC20D" w14:textId="77777777" w:rsidR="00D846F4" w:rsidRPr="003D1FC2" w:rsidRDefault="00D846F4" w:rsidP="00DF6C74">
      <w:pPr>
        <w:rPr>
          <w:rFonts w:ascii="Arial" w:hAnsi="Arial" w:cs="Arial"/>
          <w:b/>
          <w:sz w:val="20"/>
        </w:rPr>
      </w:pPr>
      <w:r w:rsidRPr="003D1FC2">
        <w:rPr>
          <w:rFonts w:ascii="Arial" w:hAnsi="Arial" w:cs="Arial"/>
          <w:b/>
          <w:sz w:val="20"/>
        </w:rPr>
        <w:t>A titre ordinaire </w:t>
      </w:r>
      <w:r w:rsidRPr="003D1FC2">
        <w:rPr>
          <w:rFonts w:ascii="Arial" w:hAnsi="Arial" w:cs="Arial"/>
          <w:sz w:val="20"/>
        </w:rPr>
        <w:t>:</w:t>
      </w:r>
    </w:p>
    <w:p w14:paraId="3D9726DF" w14:textId="77777777" w:rsidR="00D846F4" w:rsidRPr="003D1FC2" w:rsidRDefault="00D846F4" w:rsidP="00DF6C74">
      <w:pPr>
        <w:rPr>
          <w:rFonts w:ascii="Arial" w:hAnsi="Arial" w:cs="Arial"/>
          <w:sz w:val="20"/>
        </w:rPr>
      </w:pPr>
    </w:p>
    <w:p w14:paraId="6ABB01B1" w14:textId="77777777" w:rsidR="00D846F4" w:rsidRPr="003D1FC2" w:rsidRDefault="00D846F4" w:rsidP="00B60107">
      <w:pPr>
        <w:pStyle w:val="Paragraphedeliste"/>
        <w:numPr>
          <w:ilvl w:val="0"/>
          <w:numId w:val="24"/>
        </w:numPr>
        <w:tabs>
          <w:tab w:val="left" w:pos="851"/>
        </w:tabs>
        <w:rPr>
          <w:rFonts w:ascii="Arial" w:hAnsi="Arial" w:cs="Arial"/>
          <w:sz w:val="20"/>
        </w:rPr>
      </w:pPr>
      <w:r w:rsidRPr="003D1FC2">
        <w:rPr>
          <w:rFonts w:ascii="Arial" w:hAnsi="Arial" w:cs="Arial"/>
          <w:sz w:val="20"/>
        </w:rPr>
        <w:t>Approbation des comptes sociaux de l’e</w:t>
      </w:r>
      <w:r w:rsidR="00160D50">
        <w:rPr>
          <w:rFonts w:ascii="Arial" w:hAnsi="Arial" w:cs="Arial"/>
          <w:sz w:val="20"/>
        </w:rPr>
        <w:t>xercice clos le</w:t>
      </w:r>
      <w:r w:rsidR="0013453C">
        <w:rPr>
          <w:rFonts w:ascii="Arial" w:hAnsi="Arial" w:cs="Arial"/>
          <w:sz w:val="20"/>
        </w:rPr>
        <w:t xml:space="preserve"> 31 décembre 2021</w:t>
      </w:r>
      <w:r w:rsidRPr="003D1FC2">
        <w:rPr>
          <w:rFonts w:ascii="Arial" w:hAnsi="Arial" w:cs="Arial"/>
          <w:sz w:val="20"/>
        </w:rPr>
        <w:t xml:space="preserve"> et quitus à donner au Président et aux administrateurs ;</w:t>
      </w:r>
    </w:p>
    <w:p w14:paraId="233CC47C" w14:textId="77777777" w:rsidR="00D846F4" w:rsidRPr="003D1FC2" w:rsidRDefault="00D846F4" w:rsidP="00DF6C74">
      <w:pPr>
        <w:ind w:left="720"/>
        <w:rPr>
          <w:rFonts w:ascii="Arial" w:hAnsi="Arial" w:cs="Arial"/>
          <w:sz w:val="20"/>
        </w:rPr>
      </w:pPr>
    </w:p>
    <w:p w14:paraId="6D4A9313" w14:textId="77777777" w:rsidR="00D846F4" w:rsidRPr="003D1FC2" w:rsidRDefault="00D846F4" w:rsidP="00B60107">
      <w:pPr>
        <w:pStyle w:val="Paragraphedeliste"/>
        <w:numPr>
          <w:ilvl w:val="0"/>
          <w:numId w:val="24"/>
        </w:numPr>
        <w:tabs>
          <w:tab w:val="left" w:pos="851"/>
        </w:tabs>
        <w:rPr>
          <w:rFonts w:ascii="Arial" w:hAnsi="Arial" w:cs="Arial"/>
          <w:sz w:val="20"/>
        </w:rPr>
      </w:pPr>
      <w:r w:rsidRPr="003D1FC2">
        <w:rPr>
          <w:rFonts w:ascii="Arial" w:hAnsi="Arial" w:cs="Arial"/>
          <w:sz w:val="20"/>
        </w:rPr>
        <w:t>Approbation des comptes consolidés de l’e</w:t>
      </w:r>
      <w:r w:rsidR="0013453C">
        <w:rPr>
          <w:rFonts w:ascii="Arial" w:hAnsi="Arial" w:cs="Arial"/>
          <w:sz w:val="20"/>
        </w:rPr>
        <w:t>xercice clos le 31 décembre 2021</w:t>
      </w:r>
      <w:r w:rsidRPr="003D1FC2">
        <w:rPr>
          <w:rFonts w:ascii="Arial" w:hAnsi="Arial" w:cs="Arial"/>
          <w:sz w:val="20"/>
        </w:rPr>
        <w:t> ;</w:t>
      </w:r>
    </w:p>
    <w:p w14:paraId="60F92B6C" w14:textId="77777777" w:rsidR="00D846F4" w:rsidRPr="003D1FC2" w:rsidRDefault="00D846F4" w:rsidP="00DF6C74">
      <w:pPr>
        <w:ind w:left="720"/>
        <w:rPr>
          <w:rFonts w:ascii="Arial" w:hAnsi="Arial" w:cs="Arial"/>
          <w:sz w:val="20"/>
        </w:rPr>
      </w:pPr>
    </w:p>
    <w:p w14:paraId="5203C140" w14:textId="77777777" w:rsidR="00D846F4" w:rsidRPr="003D1FC2" w:rsidRDefault="00D846F4" w:rsidP="00B60107">
      <w:pPr>
        <w:pStyle w:val="Paragraphedeliste"/>
        <w:numPr>
          <w:ilvl w:val="0"/>
          <w:numId w:val="24"/>
        </w:numPr>
        <w:tabs>
          <w:tab w:val="left" w:pos="851"/>
        </w:tabs>
        <w:rPr>
          <w:rFonts w:ascii="Arial" w:hAnsi="Arial" w:cs="Arial"/>
          <w:sz w:val="20"/>
        </w:rPr>
      </w:pPr>
      <w:r w:rsidRPr="003D1FC2">
        <w:rPr>
          <w:rFonts w:ascii="Arial" w:hAnsi="Arial" w:cs="Arial"/>
          <w:sz w:val="20"/>
        </w:rPr>
        <w:t>Affectation du résultat ;</w:t>
      </w:r>
    </w:p>
    <w:p w14:paraId="7519871E" w14:textId="77777777" w:rsidR="00D846F4" w:rsidRPr="003D1FC2" w:rsidRDefault="00D846F4" w:rsidP="00B60107">
      <w:pPr>
        <w:pStyle w:val="Paragraphedeliste"/>
        <w:tabs>
          <w:tab w:val="left" w:pos="851"/>
        </w:tabs>
        <w:ind w:left="720"/>
        <w:rPr>
          <w:rFonts w:ascii="Arial" w:hAnsi="Arial" w:cs="Arial"/>
          <w:sz w:val="20"/>
        </w:rPr>
      </w:pPr>
    </w:p>
    <w:p w14:paraId="6F61860D" w14:textId="77777777" w:rsidR="00160D50" w:rsidRPr="0013453C" w:rsidRDefault="00D846F4" w:rsidP="0013453C">
      <w:pPr>
        <w:pStyle w:val="Paragraphedeliste"/>
        <w:numPr>
          <w:ilvl w:val="0"/>
          <w:numId w:val="24"/>
        </w:numPr>
        <w:tabs>
          <w:tab w:val="left" w:pos="851"/>
        </w:tabs>
        <w:rPr>
          <w:rFonts w:ascii="Arial" w:hAnsi="Arial" w:cs="Arial"/>
          <w:sz w:val="20"/>
        </w:rPr>
      </w:pPr>
      <w:r w:rsidRPr="003D1FC2">
        <w:rPr>
          <w:rFonts w:ascii="Arial" w:hAnsi="Arial" w:cs="Arial"/>
          <w:sz w:val="20"/>
        </w:rPr>
        <w:t>Approbation et ratification des conventions visées à l’article L</w:t>
      </w:r>
      <w:r w:rsidR="00160D50">
        <w:rPr>
          <w:rFonts w:ascii="Arial" w:hAnsi="Arial" w:cs="Arial"/>
          <w:sz w:val="20"/>
        </w:rPr>
        <w:t xml:space="preserve">. </w:t>
      </w:r>
      <w:r w:rsidRPr="003D1FC2">
        <w:rPr>
          <w:rFonts w:ascii="Arial" w:hAnsi="Arial" w:cs="Arial"/>
          <w:sz w:val="20"/>
        </w:rPr>
        <w:t>225-38 du Code de commerce ;</w:t>
      </w:r>
    </w:p>
    <w:p w14:paraId="0B60A02E" w14:textId="77777777" w:rsidR="00446CCE" w:rsidRDefault="00446CCE" w:rsidP="00DF6C74">
      <w:pPr>
        <w:pStyle w:val="Paragraphedeliste"/>
        <w:rPr>
          <w:rFonts w:ascii="Arial" w:hAnsi="Arial" w:cs="Arial"/>
          <w:sz w:val="20"/>
        </w:rPr>
      </w:pPr>
    </w:p>
    <w:p w14:paraId="14EDB724" w14:textId="77777777" w:rsidR="00F62C74" w:rsidRPr="00F74745" w:rsidRDefault="00F62C74" w:rsidP="00B60107">
      <w:pPr>
        <w:pStyle w:val="Paragraphedeliste"/>
        <w:numPr>
          <w:ilvl w:val="0"/>
          <w:numId w:val="24"/>
        </w:numPr>
        <w:tabs>
          <w:tab w:val="left" w:pos="851"/>
        </w:tabs>
        <w:rPr>
          <w:rFonts w:ascii="Arial" w:hAnsi="Arial" w:cs="Arial"/>
          <w:sz w:val="20"/>
        </w:rPr>
      </w:pPr>
      <w:r>
        <w:rPr>
          <w:rFonts w:ascii="Arial" w:hAnsi="Arial" w:cs="Arial"/>
          <w:sz w:val="20"/>
        </w:rPr>
        <w:t>A</w:t>
      </w:r>
      <w:r w:rsidRPr="00F74745">
        <w:rPr>
          <w:rFonts w:ascii="Arial" w:hAnsi="Arial" w:cs="Arial"/>
          <w:sz w:val="20"/>
        </w:rPr>
        <w:t xml:space="preserve">utorisation </w:t>
      </w:r>
      <w:r>
        <w:rPr>
          <w:rFonts w:ascii="Arial" w:hAnsi="Arial" w:cs="Arial"/>
          <w:sz w:val="20"/>
        </w:rPr>
        <w:t>à donner</w:t>
      </w:r>
      <w:r w:rsidRPr="00F74745">
        <w:rPr>
          <w:rFonts w:ascii="Arial" w:hAnsi="Arial" w:cs="Arial"/>
          <w:sz w:val="20"/>
        </w:rPr>
        <w:t xml:space="preserve"> au Conseil </w:t>
      </w:r>
      <w:r w:rsidRPr="0060687C">
        <w:rPr>
          <w:rFonts w:ascii="Arial" w:hAnsi="Arial" w:cs="Arial"/>
          <w:sz w:val="20"/>
        </w:rPr>
        <w:t>d’administration à l'effet de faire racheter par la Société ses propres actions dans le cadre du di</w:t>
      </w:r>
      <w:r w:rsidR="00160D50" w:rsidRPr="0060687C">
        <w:rPr>
          <w:rFonts w:ascii="Arial" w:hAnsi="Arial" w:cs="Arial"/>
          <w:sz w:val="20"/>
        </w:rPr>
        <w:t>spositif de l'article L. 22-10-62</w:t>
      </w:r>
      <w:r w:rsidRPr="0060687C">
        <w:rPr>
          <w:rFonts w:ascii="Arial" w:hAnsi="Arial" w:cs="Arial"/>
          <w:sz w:val="20"/>
        </w:rPr>
        <w:t xml:space="preserve"> du Code de commerce,</w:t>
      </w:r>
      <w:r w:rsidRPr="00F74745">
        <w:rPr>
          <w:rFonts w:ascii="Arial" w:hAnsi="Arial" w:cs="Arial"/>
          <w:sz w:val="20"/>
        </w:rPr>
        <w:t xml:space="preserve"> durée de l’autorisation, finalités, modalités, plafond ;</w:t>
      </w:r>
    </w:p>
    <w:p w14:paraId="7E979CEB" w14:textId="77777777" w:rsidR="00446CCE" w:rsidRPr="00446CCE" w:rsidRDefault="00446CCE" w:rsidP="00DF6C74">
      <w:pPr>
        <w:tabs>
          <w:tab w:val="left" w:pos="851"/>
        </w:tabs>
        <w:ind w:left="851"/>
        <w:rPr>
          <w:rFonts w:ascii="Arial" w:hAnsi="Arial" w:cs="Arial"/>
          <w:sz w:val="20"/>
        </w:rPr>
      </w:pPr>
    </w:p>
    <w:p w14:paraId="196BD018" w14:textId="77777777" w:rsidR="00D846F4" w:rsidRPr="003D1FC2" w:rsidRDefault="00D846F4" w:rsidP="00DF6C74">
      <w:pPr>
        <w:rPr>
          <w:rFonts w:ascii="Arial" w:hAnsi="Arial" w:cs="Arial"/>
          <w:sz w:val="20"/>
        </w:rPr>
      </w:pPr>
    </w:p>
    <w:p w14:paraId="581AF1C6" w14:textId="77777777" w:rsidR="00D846F4" w:rsidRPr="003D1FC2" w:rsidRDefault="00D846F4" w:rsidP="00DF6C74">
      <w:pPr>
        <w:rPr>
          <w:rFonts w:ascii="Arial" w:hAnsi="Arial" w:cs="Arial"/>
          <w:b/>
          <w:sz w:val="20"/>
        </w:rPr>
      </w:pPr>
      <w:r w:rsidRPr="003D1FC2">
        <w:rPr>
          <w:rFonts w:ascii="Arial" w:hAnsi="Arial" w:cs="Arial"/>
          <w:b/>
          <w:sz w:val="20"/>
        </w:rPr>
        <w:t>A titre extraordinaire </w:t>
      </w:r>
      <w:r w:rsidRPr="003D1FC2">
        <w:rPr>
          <w:rFonts w:ascii="Arial" w:hAnsi="Arial" w:cs="Arial"/>
          <w:sz w:val="20"/>
        </w:rPr>
        <w:t xml:space="preserve">: </w:t>
      </w:r>
    </w:p>
    <w:p w14:paraId="1CBA1698" w14:textId="77777777" w:rsidR="00D846F4" w:rsidRPr="003D1FC2" w:rsidRDefault="00D846F4" w:rsidP="00DF6C74">
      <w:pPr>
        <w:tabs>
          <w:tab w:val="left" w:pos="851"/>
        </w:tabs>
        <w:ind w:left="851"/>
        <w:rPr>
          <w:rFonts w:ascii="Arial" w:hAnsi="Arial" w:cs="Arial"/>
          <w:sz w:val="20"/>
        </w:rPr>
      </w:pPr>
    </w:p>
    <w:p w14:paraId="2A017AA5" w14:textId="77777777" w:rsidR="00F62C74" w:rsidRDefault="00F62C74" w:rsidP="00B60107">
      <w:pPr>
        <w:pStyle w:val="Paragraphedeliste"/>
        <w:numPr>
          <w:ilvl w:val="0"/>
          <w:numId w:val="24"/>
        </w:numPr>
        <w:tabs>
          <w:tab w:val="left" w:pos="851"/>
        </w:tabs>
        <w:rPr>
          <w:rFonts w:ascii="Arial" w:hAnsi="Arial" w:cs="Arial"/>
          <w:sz w:val="20"/>
        </w:rPr>
      </w:pPr>
      <w:r>
        <w:rPr>
          <w:rFonts w:ascii="Arial" w:hAnsi="Arial" w:cs="Arial"/>
          <w:sz w:val="20"/>
        </w:rPr>
        <w:t>Autorisation à donner</w:t>
      </w:r>
      <w:r w:rsidRPr="00F74745">
        <w:rPr>
          <w:rFonts w:ascii="Arial" w:hAnsi="Arial" w:cs="Arial"/>
          <w:sz w:val="20"/>
        </w:rPr>
        <w:t xml:space="preserve"> au Conseil d’administration à l’effet de réduire le capital social de la Société par voie d’annulation d’actions dans le cadre de l’autorisation d’achat de ses propres actions, durée de l’autorisation, modalités, plafond ;</w:t>
      </w:r>
    </w:p>
    <w:p w14:paraId="15CAD2FA" w14:textId="77777777" w:rsidR="0013453C" w:rsidRDefault="0013453C" w:rsidP="0013453C">
      <w:pPr>
        <w:pStyle w:val="Paragraphedeliste"/>
        <w:tabs>
          <w:tab w:val="left" w:pos="851"/>
        </w:tabs>
        <w:ind w:left="720"/>
        <w:rPr>
          <w:rFonts w:ascii="Arial" w:hAnsi="Arial" w:cs="Arial"/>
          <w:sz w:val="20"/>
        </w:rPr>
      </w:pPr>
    </w:p>
    <w:p w14:paraId="210C7BCB" w14:textId="77777777" w:rsidR="0013453C" w:rsidRPr="00F74745" w:rsidRDefault="0013453C" w:rsidP="0013453C">
      <w:pPr>
        <w:pStyle w:val="Paragraphedeliste"/>
        <w:numPr>
          <w:ilvl w:val="0"/>
          <w:numId w:val="24"/>
        </w:numPr>
        <w:tabs>
          <w:tab w:val="left" w:pos="851"/>
        </w:tabs>
        <w:rPr>
          <w:rFonts w:ascii="Arial" w:hAnsi="Arial" w:cs="Arial"/>
          <w:sz w:val="20"/>
        </w:rPr>
      </w:pPr>
      <w:r>
        <w:rPr>
          <w:rFonts w:ascii="Arial" w:hAnsi="Arial" w:cs="Arial"/>
          <w:sz w:val="20"/>
        </w:rPr>
        <w:t>D</w:t>
      </w:r>
      <w:r w:rsidRPr="00F74745">
        <w:rPr>
          <w:rFonts w:ascii="Arial" w:hAnsi="Arial" w:cs="Arial"/>
          <w:sz w:val="20"/>
        </w:rPr>
        <w:t>élégation de compétence conférée au Conseil d’administration à l’effet de décider</w:t>
      </w:r>
      <w:r>
        <w:rPr>
          <w:rFonts w:ascii="Arial" w:hAnsi="Arial" w:cs="Arial"/>
          <w:sz w:val="20"/>
        </w:rPr>
        <w:t xml:space="preserve"> </w:t>
      </w:r>
      <w:r w:rsidRPr="00F74745">
        <w:rPr>
          <w:rFonts w:ascii="Arial" w:hAnsi="Arial" w:cs="Arial"/>
          <w:sz w:val="20"/>
        </w:rPr>
        <w:t xml:space="preserve">l’émission d’actions ordinaires et/ou de titres de capital donnant accès à d’autres titres de capital ou donnant droit à l’attribution de titres de créance et/ou de valeurs mobilières donnant accès à des titres de capital à émettre ou donnant droit à l’attribution de titres de créance (de la société ou d’une société du groupe), </w:t>
      </w:r>
      <w:r w:rsidRPr="006A5B2D">
        <w:rPr>
          <w:rFonts w:ascii="Arial" w:hAnsi="Arial" w:cs="Arial"/>
          <w:sz w:val="20"/>
          <w:u w:val="single"/>
        </w:rPr>
        <w:t>avec suppression du droit préférentiel de souscription sans indication de bénéficiaires et par offre au public</w:t>
      </w:r>
      <w:r w:rsidRPr="00F74745">
        <w:rPr>
          <w:rFonts w:ascii="Arial" w:hAnsi="Arial" w:cs="Arial"/>
          <w:sz w:val="20"/>
        </w:rPr>
        <w:t>, durée de la délégation, plafonds de l’émission, prix d’émission, faculté de limiter l’émission au montant des souscriptions reçues ou de répartir les titres non souscrits ;</w:t>
      </w:r>
    </w:p>
    <w:p w14:paraId="76F5CC58" w14:textId="77777777" w:rsidR="0013453C" w:rsidRPr="00F74745" w:rsidRDefault="0013453C" w:rsidP="0013453C">
      <w:pPr>
        <w:pStyle w:val="Paragraphedeliste"/>
        <w:tabs>
          <w:tab w:val="left" w:pos="851"/>
        </w:tabs>
        <w:rPr>
          <w:rFonts w:ascii="Arial" w:hAnsi="Arial" w:cs="Arial"/>
          <w:sz w:val="20"/>
        </w:rPr>
      </w:pPr>
    </w:p>
    <w:p w14:paraId="4EAD559D" w14:textId="77777777" w:rsidR="0013453C" w:rsidRDefault="0013453C" w:rsidP="0013453C">
      <w:pPr>
        <w:pStyle w:val="Paragraphedeliste"/>
        <w:numPr>
          <w:ilvl w:val="0"/>
          <w:numId w:val="24"/>
        </w:numPr>
        <w:tabs>
          <w:tab w:val="left" w:pos="851"/>
        </w:tabs>
        <w:rPr>
          <w:rFonts w:ascii="Arial" w:hAnsi="Arial" w:cs="Arial"/>
          <w:sz w:val="20"/>
        </w:rPr>
      </w:pPr>
      <w:r w:rsidRPr="00FC7329">
        <w:rPr>
          <w:rFonts w:ascii="Arial" w:hAnsi="Arial" w:cs="Arial"/>
          <w:sz w:val="20"/>
        </w:rPr>
        <w:t xml:space="preserve">Délégation de compétence conférée au Conseil d’administration à l’effet de décider l’émission d’actions ordinaires et/ou de titres de capital donnant accès à d’autres titres de capital ou donnant droit à l’attribution de titres de créance et/ou de valeurs mobilières donnant accès à des titres de capital à émettre ou donnant droit à l’attribution de titres de créance (de la société ou d’une société du groupe), </w:t>
      </w:r>
      <w:r w:rsidRPr="00FC7329">
        <w:rPr>
          <w:rFonts w:ascii="Arial" w:hAnsi="Arial" w:cs="Arial"/>
          <w:sz w:val="20"/>
          <w:u w:val="single"/>
        </w:rPr>
        <w:t>avec suppression du droit préférentiel de souscription par une offre visée au 1° de l’article L. 411-2 du Code monétaire et financier (par placement privé et dans la limite de 20% du capital social par an)</w:t>
      </w:r>
      <w:r w:rsidRPr="00FC7329">
        <w:rPr>
          <w:rFonts w:ascii="Arial" w:hAnsi="Arial" w:cs="Arial"/>
          <w:sz w:val="20"/>
        </w:rPr>
        <w:t>, durée de la délégation, plafonds de l’émission, prix d’émission, faculté de limiter l’émission au montant des souscriptions reçues ou de répartir les titres non souscrits ;</w:t>
      </w:r>
    </w:p>
    <w:p w14:paraId="6ABA356F" w14:textId="77777777" w:rsidR="0013453C" w:rsidRPr="0013453C" w:rsidRDefault="0013453C" w:rsidP="0013453C">
      <w:pPr>
        <w:pStyle w:val="Paragraphedeliste"/>
        <w:rPr>
          <w:rFonts w:ascii="Arial" w:hAnsi="Arial" w:cs="Arial"/>
          <w:sz w:val="20"/>
        </w:rPr>
      </w:pPr>
    </w:p>
    <w:p w14:paraId="04A0D585" w14:textId="77777777" w:rsidR="0013453C" w:rsidRPr="00F74745" w:rsidRDefault="0013453C" w:rsidP="0013453C">
      <w:pPr>
        <w:pStyle w:val="Paragraphedeliste"/>
        <w:numPr>
          <w:ilvl w:val="0"/>
          <w:numId w:val="24"/>
        </w:numPr>
        <w:tabs>
          <w:tab w:val="left" w:pos="851"/>
        </w:tabs>
        <w:rPr>
          <w:rFonts w:ascii="Arial" w:hAnsi="Arial" w:cs="Arial"/>
          <w:sz w:val="20"/>
        </w:rPr>
      </w:pPr>
      <w:r>
        <w:rPr>
          <w:rFonts w:ascii="Arial" w:hAnsi="Arial" w:cs="Arial"/>
          <w:sz w:val="20"/>
        </w:rPr>
        <w:t>D</w:t>
      </w:r>
      <w:r w:rsidRPr="00F74745">
        <w:rPr>
          <w:rFonts w:ascii="Arial" w:hAnsi="Arial" w:cs="Arial"/>
          <w:sz w:val="20"/>
        </w:rPr>
        <w:t xml:space="preserve">élégation de compétence conférée au Conseil d’administration à l’effet de décider l’émission d’actions ordinaires et/ou de titres de capital donnant accès à d’autres titres de capital ou donnant droit à l’attribution de titres de créance et/ou de valeurs mobilières donnant accès à des titres de capital à émettre ou donnant droit à l’attribution de titres de créance (de la société ou d’une société du groupe), </w:t>
      </w:r>
      <w:r w:rsidRPr="006A5B2D">
        <w:rPr>
          <w:rFonts w:ascii="Arial" w:hAnsi="Arial" w:cs="Arial"/>
          <w:sz w:val="20"/>
          <w:u w:val="single"/>
        </w:rPr>
        <w:t>avec maintien du droit préférentiel de souscription</w:t>
      </w:r>
      <w:r w:rsidRPr="00F74745">
        <w:rPr>
          <w:rFonts w:ascii="Arial" w:hAnsi="Arial" w:cs="Arial"/>
          <w:sz w:val="20"/>
        </w:rPr>
        <w:t>, durée de la délégation, plafonds de l’émission, faculté de limiter l’émission au montant des souscriptions reçues ou de répartir les titres non souscrits ou d’offrir au public les titres non souscrits ;</w:t>
      </w:r>
    </w:p>
    <w:p w14:paraId="292BFBE7" w14:textId="77777777" w:rsidR="0013453C" w:rsidRPr="00F74745" w:rsidRDefault="0013453C" w:rsidP="0013453C">
      <w:pPr>
        <w:pStyle w:val="Paragraphedeliste"/>
        <w:tabs>
          <w:tab w:val="left" w:pos="851"/>
        </w:tabs>
        <w:rPr>
          <w:rFonts w:ascii="Arial" w:hAnsi="Arial" w:cs="Arial"/>
          <w:sz w:val="20"/>
        </w:rPr>
      </w:pPr>
      <w:r>
        <w:rPr>
          <w:rFonts w:ascii="Arial" w:hAnsi="Arial" w:cs="Arial"/>
          <w:sz w:val="20"/>
        </w:rPr>
        <w:t xml:space="preserve"> </w:t>
      </w:r>
    </w:p>
    <w:p w14:paraId="176B8352" w14:textId="77777777" w:rsidR="0013453C" w:rsidRPr="00F74745" w:rsidRDefault="0013453C" w:rsidP="0013453C">
      <w:pPr>
        <w:pStyle w:val="Paragraphedeliste"/>
        <w:numPr>
          <w:ilvl w:val="0"/>
          <w:numId w:val="24"/>
        </w:numPr>
        <w:tabs>
          <w:tab w:val="left" w:pos="851"/>
        </w:tabs>
        <w:rPr>
          <w:rFonts w:ascii="Arial" w:hAnsi="Arial" w:cs="Arial"/>
          <w:sz w:val="20"/>
        </w:rPr>
      </w:pPr>
      <w:r>
        <w:rPr>
          <w:rFonts w:ascii="Arial" w:hAnsi="Arial" w:cs="Arial"/>
          <w:sz w:val="20"/>
        </w:rPr>
        <w:lastRenderedPageBreak/>
        <w:t>D</w:t>
      </w:r>
      <w:r w:rsidRPr="00F74745">
        <w:rPr>
          <w:rFonts w:ascii="Arial" w:hAnsi="Arial" w:cs="Arial"/>
          <w:sz w:val="20"/>
        </w:rPr>
        <w:t xml:space="preserve">élégation de compétence conférée au Conseil d’administration à l’effet de décider </w:t>
      </w:r>
      <w:r w:rsidRPr="006A5B2D">
        <w:rPr>
          <w:rFonts w:ascii="Arial" w:hAnsi="Arial" w:cs="Arial"/>
          <w:sz w:val="20"/>
          <w:u w:val="single"/>
        </w:rPr>
        <w:t>l’incorporation au capital de bénéfices, réserves ou primes</w:t>
      </w:r>
      <w:r w:rsidRPr="00F74745">
        <w:rPr>
          <w:rFonts w:ascii="Arial" w:hAnsi="Arial" w:cs="Arial"/>
          <w:sz w:val="20"/>
        </w:rPr>
        <w:t>, durée de la délégation, plafond de l’émission, sort des rompus ;</w:t>
      </w:r>
    </w:p>
    <w:p w14:paraId="12998F53" w14:textId="77777777" w:rsidR="0013453C" w:rsidRPr="00F74745" w:rsidRDefault="0013453C" w:rsidP="0013453C">
      <w:pPr>
        <w:pStyle w:val="Paragraphedeliste"/>
        <w:tabs>
          <w:tab w:val="left" w:pos="851"/>
        </w:tabs>
        <w:rPr>
          <w:rFonts w:ascii="Arial" w:hAnsi="Arial" w:cs="Arial"/>
          <w:sz w:val="20"/>
        </w:rPr>
      </w:pPr>
    </w:p>
    <w:p w14:paraId="281C0EEA" w14:textId="77777777" w:rsidR="0013453C" w:rsidRPr="00F74745" w:rsidRDefault="0013453C" w:rsidP="0013453C">
      <w:pPr>
        <w:pStyle w:val="Paragraphedeliste"/>
        <w:numPr>
          <w:ilvl w:val="0"/>
          <w:numId w:val="24"/>
        </w:numPr>
        <w:tabs>
          <w:tab w:val="left" w:pos="851"/>
        </w:tabs>
        <w:rPr>
          <w:rFonts w:ascii="Arial" w:hAnsi="Arial" w:cs="Arial"/>
          <w:sz w:val="20"/>
        </w:rPr>
      </w:pPr>
      <w:r>
        <w:rPr>
          <w:rFonts w:ascii="Arial" w:hAnsi="Arial" w:cs="Arial"/>
          <w:sz w:val="20"/>
        </w:rPr>
        <w:t>Autorisation à donner</w:t>
      </w:r>
      <w:r w:rsidRPr="00F74745">
        <w:rPr>
          <w:rFonts w:ascii="Arial" w:hAnsi="Arial" w:cs="Arial"/>
          <w:sz w:val="20"/>
        </w:rPr>
        <w:t xml:space="preserve"> au Conseil d’administration à l’effet </w:t>
      </w:r>
      <w:r w:rsidRPr="006A5B2D">
        <w:rPr>
          <w:rFonts w:ascii="Arial" w:hAnsi="Arial" w:cs="Arial"/>
          <w:sz w:val="20"/>
          <w:u w:val="single"/>
        </w:rPr>
        <w:t>d’augmenter le nombre de titres émis</w:t>
      </w:r>
      <w:r w:rsidRPr="00F74745">
        <w:rPr>
          <w:rFonts w:ascii="Arial" w:hAnsi="Arial" w:cs="Arial"/>
          <w:sz w:val="20"/>
        </w:rPr>
        <w:t>, dans le cadre des dispositions de l’article L. 225-135-1 du Code de commerce ;</w:t>
      </w:r>
    </w:p>
    <w:p w14:paraId="5774DD7B" w14:textId="77777777" w:rsidR="0013453C" w:rsidRPr="00F74745" w:rsidRDefault="0013453C" w:rsidP="0013453C">
      <w:pPr>
        <w:pStyle w:val="Paragraphedeliste"/>
        <w:tabs>
          <w:tab w:val="left" w:pos="851"/>
        </w:tabs>
        <w:rPr>
          <w:rFonts w:ascii="Arial" w:hAnsi="Arial" w:cs="Arial"/>
          <w:sz w:val="20"/>
        </w:rPr>
      </w:pPr>
    </w:p>
    <w:p w14:paraId="3961938C" w14:textId="77777777" w:rsidR="0013453C" w:rsidRPr="0013453C" w:rsidRDefault="0013453C" w:rsidP="0013453C">
      <w:pPr>
        <w:pStyle w:val="Paragraphedeliste"/>
        <w:numPr>
          <w:ilvl w:val="0"/>
          <w:numId w:val="24"/>
        </w:numPr>
        <w:tabs>
          <w:tab w:val="left" w:pos="851"/>
        </w:tabs>
        <w:rPr>
          <w:rFonts w:ascii="Arial" w:hAnsi="Arial" w:cs="Arial"/>
          <w:sz w:val="20"/>
        </w:rPr>
      </w:pPr>
      <w:r w:rsidRPr="006A5B2D">
        <w:rPr>
          <w:rFonts w:ascii="Arial" w:hAnsi="Arial" w:cs="Arial"/>
          <w:sz w:val="20"/>
          <w:u w:val="single"/>
        </w:rPr>
        <w:t>Fixation du premier plafond global</w:t>
      </w:r>
      <w:r w:rsidRPr="00F74745">
        <w:rPr>
          <w:rFonts w:ascii="Arial" w:hAnsi="Arial" w:cs="Arial"/>
          <w:sz w:val="20"/>
        </w:rPr>
        <w:t xml:space="preserve"> des émissions d’actions ordinaires et/ou de titres de capital donnant accès à d’autres titres de capital ou donnant droit à l’attribution de titres de créance et/ou de valeurs mobilières donnant accès à des titres de capital à émettre ou donnant droit à l’attribution de titres de créance (de la société ou d’une société du groupe) susceptibles d’être réalisées en vertu des délégations de compétence et autorisations visées aux résolutions qui précèdent ;</w:t>
      </w:r>
    </w:p>
    <w:p w14:paraId="6F662FDB" w14:textId="77777777" w:rsidR="00F62C74" w:rsidRPr="0057447B" w:rsidRDefault="00F62C74" w:rsidP="0057447B">
      <w:pPr>
        <w:tabs>
          <w:tab w:val="left" w:pos="851"/>
        </w:tabs>
        <w:rPr>
          <w:rFonts w:ascii="Arial" w:hAnsi="Arial" w:cs="Arial"/>
          <w:sz w:val="20"/>
        </w:rPr>
      </w:pPr>
    </w:p>
    <w:p w14:paraId="3E46E822" w14:textId="77777777" w:rsidR="00F62C74" w:rsidRPr="00F74745" w:rsidRDefault="00F62C74" w:rsidP="00DF6C74">
      <w:pPr>
        <w:pStyle w:val="Paragraphedeliste"/>
        <w:numPr>
          <w:ilvl w:val="0"/>
          <w:numId w:val="24"/>
        </w:numPr>
        <w:tabs>
          <w:tab w:val="left" w:pos="851"/>
        </w:tabs>
        <w:rPr>
          <w:rFonts w:ascii="Arial" w:hAnsi="Arial" w:cs="Arial"/>
          <w:sz w:val="20"/>
        </w:rPr>
      </w:pPr>
      <w:r>
        <w:rPr>
          <w:rFonts w:ascii="Arial" w:hAnsi="Arial" w:cs="Arial"/>
          <w:sz w:val="20"/>
        </w:rPr>
        <w:t>Délégation</w:t>
      </w:r>
      <w:r w:rsidRPr="00F74745">
        <w:rPr>
          <w:rFonts w:ascii="Arial" w:hAnsi="Arial" w:cs="Arial"/>
          <w:sz w:val="20"/>
        </w:rPr>
        <w:t xml:space="preserve"> de compétence conférée au Conseil d’administration à l’effet de décider l’émission d’actions ordinaires et/ou de titres de capital donnant accès à d’autres titres de capital ou donnant droit à l’attribution de titres de créance et/ou de valeurs mobilières donnant accès à des titres de capital à émettre ou donnant droit à l’attribution de titres de créance (de la société ou d’une société du groupe), </w:t>
      </w:r>
      <w:r w:rsidRPr="006A5B2D">
        <w:rPr>
          <w:rFonts w:ascii="Arial" w:hAnsi="Arial" w:cs="Arial"/>
          <w:sz w:val="20"/>
          <w:u w:val="single"/>
        </w:rPr>
        <w:t>avec suppression du droit préférentiel de souscription au profit de catégories de bénéficiaires</w:t>
      </w:r>
      <w:r w:rsidRPr="00F74745">
        <w:rPr>
          <w:rFonts w:ascii="Arial" w:hAnsi="Arial" w:cs="Arial"/>
          <w:sz w:val="20"/>
        </w:rPr>
        <w:t>, durée de la délégation, plafonds de l’émission, prix d’émission, faculté de limiter l’émission au montant des souscriptions reçues ou de répartir les titres non souscrits ;</w:t>
      </w:r>
    </w:p>
    <w:p w14:paraId="414438B1" w14:textId="77777777" w:rsidR="00F62C74" w:rsidRPr="00F74745" w:rsidRDefault="00F62C74" w:rsidP="00DF6C74">
      <w:pPr>
        <w:pStyle w:val="Paragraphedeliste"/>
        <w:tabs>
          <w:tab w:val="left" w:pos="851"/>
        </w:tabs>
        <w:rPr>
          <w:rFonts w:ascii="Arial" w:hAnsi="Arial" w:cs="Arial"/>
          <w:sz w:val="20"/>
        </w:rPr>
      </w:pPr>
    </w:p>
    <w:p w14:paraId="713FBE0E" w14:textId="77777777" w:rsidR="0013453C" w:rsidRPr="00FC7329" w:rsidRDefault="0013453C" w:rsidP="0013453C">
      <w:pPr>
        <w:pStyle w:val="Paragraphedeliste"/>
        <w:keepNext/>
        <w:numPr>
          <w:ilvl w:val="0"/>
          <w:numId w:val="24"/>
        </w:numPr>
        <w:tabs>
          <w:tab w:val="left" w:pos="851"/>
        </w:tabs>
        <w:ind w:left="714" w:hanging="357"/>
        <w:rPr>
          <w:rFonts w:ascii="Arial" w:hAnsi="Arial" w:cs="Arial"/>
          <w:sz w:val="20"/>
        </w:rPr>
      </w:pPr>
      <w:r w:rsidRPr="00FC7329">
        <w:rPr>
          <w:rFonts w:ascii="Arial" w:hAnsi="Arial" w:cs="Arial"/>
          <w:sz w:val="20"/>
          <w:u w:val="single"/>
        </w:rPr>
        <w:t>Fixation du second plafond</w:t>
      </w:r>
      <w:r w:rsidRPr="00FC7329">
        <w:rPr>
          <w:rFonts w:ascii="Arial" w:hAnsi="Arial" w:cs="Arial"/>
          <w:sz w:val="20"/>
        </w:rPr>
        <w:t xml:space="preserve"> global des émissions d’actions ordinaires et/ou de titres de capital donnant accès à d’autres titres de capital ou donnant droit à l’attribution de titres de créance et/ou de valeurs mobilières donnant accès à des titres de capital à émettre ou donnant droit à l’attribution de titres de créance (de la société ou d’une société du groupe) susceptibles d’être réalisées en vertu de la délégation de compétence visée à la résolution qui précède ;</w:t>
      </w:r>
    </w:p>
    <w:p w14:paraId="356B2489" w14:textId="77777777" w:rsidR="00F62C74" w:rsidRPr="0013453C" w:rsidRDefault="00F62C74" w:rsidP="0013453C">
      <w:pPr>
        <w:pStyle w:val="Paragraphedeliste"/>
        <w:keepNext/>
        <w:tabs>
          <w:tab w:val="left" w:pos="851"/>
        </w:tabs>
        <w:ind w:left="714"/>
        <w:rPr>
          <w:rFonts w:ascii="Arial" w:hAnsi="Arial" w:cs="Arial"/>
          <w:sz w:val="20"/>
        </w:rPr>
      </w:pPr>
    </w:p>
    <w:p w14:paraId="6A656293" w14:textId="77777777" w:rsidR="00F62C74" w:rsidRPr="00F74745" w:rsidRDefault="00F62C74" w:rsidP="00DF6C74">
      <w:pPr>
        <w:pStyle w:val="Paragraphedeliste"/>
        <w:keepNext/>
        <w:numPr>
          <w:ilvl w:val="0"/>
          <w:numId w:val="24"/>
        </w:numPr>
        <w:tabs>
          <w:tab w:val="left" w:pos="851"/>
        </w:tabs>
        <w:ind w:left="714" w:hanging="357"/>
        <w:rPr>
          <w:rFonts w:ascii="Arial" w:hAnsi="Arial" w:cs="Arial"/>
          <w:sz w:val="20"/>
        </w:rPr>
      </w:pPr>
      <w:r>
        <w:rPr>
          <w:rFonts w:ascii="Arial" w:hAnsi="Arial" w:cs="Arial"/>
          <w:sz w:val="20"/>
        </w:rPr>
        <w:t>D</w:t>
      </w:r>
      <w:r w:rsidRPr="00F74745">
        <w:rPr>
          <w:rFonts w:ascii="Arial" w:hAnsi="Arial" w:cs="Arial"/>
          <w:sz w:val="20"/>
        </w:rPr>
        <w:t xml:space="preserve">élégation de compétence conférée au Conseil d’administration à l’effet de décider l’émission de valeurs mobilières donnant accès immédiatement ou à terme au capital, </w:t>
      </w:r>
      <w:r w:rsidRPr="006A5B2D">
        <w:rPr>
          <w:rFonts w:ascii="Arial" w:hAnsi="Arial" w:cs="Arial"/>
          <w:sz w:val="20"/>
          <w:u w:val="single"/>
        </w:rPr>
        <w:t>avec suppression du droit préférentiel de souscription au profit d’une catégorie de bénéficiaires</w:t>
      </w:r>
      <w:r w:rsidRPr="00F74745">
        <w:rPr>
          <w:rFonts w:ascii="Arial" w:hAnsi="Arial" w:cs="Arial"/>
          <w:sz w:val="20"/>
        </w:rPr>
        <w:t>, durée de la délégation, plafond de l’émission, prix d’émission, faculté de limiter l’émission au montant des souscriptions reçues ou de répartir les titres non souscrits ;</w:t>
      </w:r>
    </w:p>
    <w:p w14:paraId="4E839431" w14:textId="77777777" w:rsidR="00F62C74" w:rsidRPr="00446CCE" w:rsidRDefault="00F62C74" w:rsidP="00DF6C74">
      <w:pPr>
        <w:tabs>
          <w:tab w:val="left" w:pos="851"/>
        </w:tabs>
        <w:ind w:left="851"/>
        <w:rPr>
          <w:rFonts w:ascii="Arial" w:hAnsi="Arial" w:cs="Arial"/>
          <w:sz w:val="20"/>
        </w:rPr>
      </w:pPr>
    </w:p>
    <w:p w14:paraId="28D90022" w14:textId="77777777" w:rsidR="00F62C74" w:rsidRDefault="00F62C74" w:rsidP="00A06E7F">
      <w:pPr>
        <w:pStyle w:val="Paragraphedeliste"/>
        <w:keepNext/>
        <w:numPr>
          <w:ilvl w:val="0"/>
          <w:numId w:val="24"/>
        </w:numPr>
        <w:tabs>
          <w:tab w:val="left" w:pos="851"/>
        </w:tabs>
        <w:ind w:left="714" w:hanging="357"/>
        <w:rPr>
          <w:rFonts w:ascii="Arial" w:hAnsi="Arial" w:cs="Arial"/>
          <w:sz w:val="20"/>
        </w:rPr>
      </w:pPr>
      <w:r>
        <w:rPr>
          <w:rFonts w:ascii="Arial" w:hAnsi="Arial" w:cs="Arial"/>
          <w:sz w:val="20"/>
        </w:rPr>
        <w:t>D</w:t>
      </w:r>
      <w:r w:rsidRPr="00F74745">
        <w:rPr>
          <w:rFonts w:ascii="Arial" w:hAnsi="Arial" w:cs="Arial"/>
          <w:sz w:val="20"/>
        </w:rPr>
        <w:t xml:space="preserve">élégation de compétence conférée au Conseil d’administration à l’effet de décider, conformément aux dispositions de l’article L. 225-129-6 du Code de commerce, une augmentation du capital social par émission d’actions ordinaires, </w:t>
      </w:r>
      <w:r w:rsidRPr="006A5B2D">
        <w:rPr>
          <w:rFonts w:ascii="Arial" w:hAnsi="Arial" w:cs="Arial"/>
          <w:sz w:val="20"/>
          <w:u w:val="single"/>
        </w:rPr>
        <w:t>avec suppression du droit préférentiel de souscription au profit des adhérents d’un plan d’épargne d’entreprise</w:t>
      </w:r>
      <w:r w:rsidRPr="00F74745">
        <w:rPr>
          <w:rFonts w:ascii="Arial" w:hAnsi="Arial" w:cs="Arial"/>
          <w:sz w:val="20"/>
        </w:rPr>
        <w:t>, dans les conditions prévues aux articles L. 3332-18 et suivants du Code du travail, durée de la délégation, plafond de l’émission, prix d’émission ;</w:t>
      </w:r>
    </w:p>
    <w:p w14:paraId="27E6D425" w14:textId="77777777" w:rsidR="00C6471E" w:rsidRPr="00C6471E" w:rsidRDefault="00C6471E" w:rsidP="00C6471E">
      <w:pPr>
        <w:pStyle w:val="Paragraphedeliste"/>
        <w:rPr>
          <w:rFonts w:ascii="Arial" w:hAnsi="Arial" w:cs="Arial"/>
          <w:sz w:val="20"/>
        </w:rPr>
      </w:pPr>
    </w:p>
    <w:p w14:paraId="5D656755" w14:textId="77777777" w:rsidR="00C6471E" w:rsidRPr="00C6471E" w:rsidRDefault="00C6471E" w:rsidP="00C6471E">
      <w:pPr>
        <w:pStyle w:val="Paragraphedeliste"/>
        <w:keepNext/>
        <w:numPr>
          <w:ilvl w:val="0"/>
          <w:numId w:val="24"/>
        </w:numPr>
        <w:tabs>
          <w:tab w:val="left" w:pos="851"/>
        </w:tabs>
        <w:rPr>
          <w:rFonts w:ascii="Arial" w:hAnsi="Arial" w:cs="Arial"/>
          <w:sz w:val="20"/>
        </w:rPr>
      </w:pPr>
      <w:r w:rsidRPr="00C6471E">
        <w:rPr>
          <w:rFonts w:ascii="Arial" w:hAnsi="Arial" w:cs="Arial"/>
          <w:sz w:val="20"/>
        </w:rPr>
        <w:t>Autorisation donnée au Conseil d’administration d’attribuer gratuitement des actions de la Société aux</w:t>
      </w:r>
      <w:r>
        <w:rPr>
          <w:rFonts w:ascii="Arial" w:hAnsi="Arial" w:cs="Arial"/>
          <w:sz w:val="20"/>
        </w:rPr>
        <w:t xml:space="preserve"> </w:t>
      </w:r>
      <w:r w:rsidRPr="00C6471E">
        <w:rPr>
          <w:rFonts w:ascii="Arial" w:hAnsi="Arial" w:cs="Arial"/>
          <w:sz w:val="20"/>
        </w:rPr>
        <w:t>dirigeants et au profit des membres du personnel salarié de la Société et du groupe avec suppression du</w:t>
      </w:r>
      <w:r>
        <w:rPr>
          <w:rFonts w:ascii="Arial" w:hAnsi="Arial" w:cs="Arial"/>
          <w:sz w:val="20"/>
        </w:rPr>
        <w:t xml:space="preserve"> </w:t>
      </w:r>
      <w:r w:rsidRPr="00C6471E">
        <w:rPr>
          <w:rFonts w:ascii="Arial" w:hAnsi="Arial" w:cs="Arial"/>
          <w:sz w:val="20"/>
        </w:rPr>
        <w:t>droit préférentiel de souscription des actionnaires</w:t>
      </w:r>
      <w:r>
        <w:rPr>
          <w:rFonts w:ascii="Arial" w:hAnsi="Arial" w:cs="Arial"/>
          <w:sz w:val="20"/>
        </w:rPr>
        <w:t> ;</w:t>
      </w:r>
    </w:p>
    <w:p w14:paraId="163A0432" w14:textId="77777777" w:rsidR="00F62C74" w:rsidRPr="00453B8F" w:rsidRDefault="00F62C74" w:rsidP="00DF6C74">
      <w:pPr>
        <w:pStyle w:val="Paragraphedeliste"/>
        <w:rPr>
          <w:rFonts w:ascii="Arial" w:hAnsi="Arial" w:cs="Arial"/>
          <w:sz w:val="20"/>
        </w:rPr>
      </w:pPr>
    </w:p>
    <w:p w14:paraId="4ABF9D3F" w14:textId="77777777" w:rsidR="00F62C74" w:rsidRPr="00F74745" w:rsidRDefault="00F62C74" w:rsidP="00A06E7F">
      <w:pPr>
        <w:pStyle w:val="Paragraphedeliste"/>
        <w:keepNext/>
        <w:numPr>
          <w:ilvl w:val="0"/>
          <w:numId w:val="24"/>
        </w:numPr>
        <w:tabs>
          <w:tab w:val="left" w:pos="851"/>
        </w:tabs>
        <w:ind w:left="714" w:hanging="357"/>
        <w:rPr>
          <w:rFonts w:ascii="Arial" w:hAnsi="Arial" w:cs="Arial"/>
          <w:sz w:val="20"/>
        </w:rPr>
      </w:pPr>
      <w:r w:rsidRPr="00F74745">
        <w:rPr>
          <w:rFonts w:ascii="Arial" w:hAnsi="Arial" w:cs="Arial"/>
          <w:sz w:val="20"/>
        </w:rPr>
        <w:t>Pouvoirs pour l’accomplissement des formalités.</w:t>
      </w:r>
    </w:p>
    <w:p w14:paraId="07FEA620" w14:textId="22483E5E" w:rsidR="00D3374A" w:rsidRDefault="00D3374A" w:rsidP="00DF6C74">
      <w:pPr>
        <w:keepNext/>
        <w:rPr>
          <w:rFonts w:ascii="Arial" w:hAnsi="Arial" w:cs="Arial"/>
          <w:sz w:val="20"/>
        </w:rPr>
      </w:pPr>
    </w:p>
    <w:p w14:paraId="4F37CEAC" w14:textId="77777777" w:rsidR="00214B37" w:rsidRDefault="00214B37" w:rsidP="00DF6C74">
      <w:pPr>
        <w:keepNext/>
        <w:rPr>
          <w:rFonts w:ascii="Arial" w:hAnsi="Arial" w:cs="Arial"/>
          <w:i/>
          <w:sz w:val="20"/>
        </w:rPr>
      </w:pPr>
    </w:p>
    <w:p w14:paraId="2B008D67" w14:textId="77777777" w:rsidR="00D3374A" w:rsidRPr="00D3374A" w:rsidRDefault="00D3374A" w:rsidP="00DF6C74">
      <w:pPr>
        <w:keepNext/>
        <w:jc w:val="center"/>
        <w:rPr>
          <w:rFonts w:ascii="Arial" w:hAnsi="Arial" w:cs="Arial"/>
          <w:sz w:val="20"/>
        </w:rPr>
      </w:pPr>
      <w:r w:rsidRPr="00D3374A">
        <w:rPr>
          <w:rFonts w:ascii="Arial" w:hAnsi="Arial" w:cs="Arial"/>
          <w:sz w:val="20"/>
        </w:rPr>
        <w:t>***</w:t>
      </w:r>
    </w:p>
    <w:p w14:paraId="4F3D77FE" w14:textId="77777777" w:rsidR="00D3374A" w:rsidRDefault="00D3374A" w:rsidP="00DF6C74">
      <w:pPr>
        <w:keepNext/>
        <w:jc w:val="center"/>
        <w:rPr>
          <w:rFonts w:ascii="Arial" w:hAnsi="Arial" w:cs="Arial"/>
          <w:i/>
          <w:sz w:val="20"/>
        </w:rPr>
      </w:pPr>
    </w:p>
    <w:p w14:paraId="0431215F" w14:textId="77777777" w:rsidR="00D0250C" w:rsidRPr="003D1FC2" w:rsidRDefault="00D0250C" w:rsidP="00D0250C">
      <w:pPr>
        <w:tabs>
          <w:tab w:val="left" w:pos="2880"/>
        </w:tabs>
        <w:rPr>
          <w:rFonts w:ascii="Arial" w:hAnsi="Arial" w:cs="Arial"/>
          <w:sz w:val="20"/>
        </w:rPr>
      </w:pPr>
      <w:r w:rsidRPr="003D1FC2">
        <w:rPr>
          <w:rFonts w:ascii="Arial" w:hAnsi="Arial" w:cs="Arial"/>
          <w:sz w:val="20"/>
        </w:rPr>
        <w:t xml:space="preserve">L'Assemblée Générale se compose de tous les actionnaires, quel que soit le nombre d'actions possédé par eux. </w:t>
      </w:r>
    </w:p>
    <w:p w14:paraId="6BD9E1AC" w14:textId="77777777" w:rsidR="00D0250C" w:rsidRPr="003D1FC2" w:rsidRDefault="00D0250C" w:rsidP="00D0250C">
      <w:pPr>
        <w:tabs>
          <w:tab w:val="left" w:pos="2880"/>
        </w:tabs>
        <w:rPr>
          <w:rFonts w:ascii="Arial" w:hAnsi="Arial" w:cs="Arial"/>
          <w:sz w:val="20"/>
        </w:rPr>
      </w:pPr>
    </w:p>
    <w:p w14:paraId="20B36B1D" w14:textId="44253E9A" w:rsidR="00D0250C" w:rsidRDefault="00D0250C" w:rsidP="00D0250C">
      <w:pPr>
        <w:pStyle w:val="Corpsdetexte32"/>
        <w:tabs>
          <w:tab w:val="left" w:pos="2880"/>
        </w:tabs>
        <w:rPr>
          <w:rFonts w:cs="Arial"/>
          <w:sz w:val="20"/>
        </w:rPr>
      </w:pPr>
      <w:r w:rsidRPr="003D1FC2">
        <w:rPr>
          <w:rFonts w:cs="Arial"/>
          <w:sz w:val="20"/>
        </w:rPr>
        <w:t>Conformément à l’article R 22</w:t>
      </w:r>
      <w:r w:rsidR="002C609D">
        <w:rPr>
          <w:rFonts w:cs="Arial"/>
          <w:sz w:val="20"/>
        </w:rPr>
        <w:t>-10-28</w:t>
      </w:r>
      <w:r w:rsidRPr="003D1FC2">
        <w:rPr>
          <w:rFonts w:cs="Arial"/>
          <w:sz w:val="20"/>
        </w:rPr>
        <w:t xml:space="preserve"> du Code de commerce, seuls seront admis à assister à l’assemblée, à voter par correspondance ou à s’y faire représenter, les actionnaires qui auront justifié de cette qualité par l’inscription en compte des titres à leur nom ou au nom de l’intermédiaire inscrit pour leur compte, au deuxième jour ouvré précédant l’assemblée à zéro heure, heure de Paris, soit dans les comptes de titres nominatifs tenus pour la Société par son mandataire, </w:t>
      </w:r>
      <w:r w:rsidRPr="006C3CEB">
        <w:rPr>
          <w:rFonts w:cs="Arial"/>
          <w:sz w:val="20"/>
        </w:rPr>
        <w:t>CACEIS</w:t>
      </w:r>
      <w:r w:rsidR="00070359">
        <w:rPr>
          <w:rFonts w:cs="Arial"/>
          <w:sz w:val="20"/>
        </w:rPr>
        <w:t xml:space="preserve"> </w:t>
      </w:r>
      <w:proofErr w:type="spellStart"/>
      <w:r w:rsidR="00070359">
        <w:rPr>
          <w:rFonts w:cs="Arial"/>
          <w:sz w:val="20"/>
        </w:rPr>
        <w:t>Corporate</w:t>
      </w:r>
      <w:proofErr w:type="spellEnd"/>
      <w:r w:rsidR="00070359">
        <w:rPr>
          <w:rFonts w:cs="Arial"/>
          <w:sz w:val="20"/>
        </w:rPr>
        <w:t xml:space="preserve"> Trust – Service Assemblées Générales – 12 place des Etats-Unis, CS 40083</w:t>
      </w:r>
      <w:r w:rsidRPr="006C3CEB">
        <w:rPr>
          <w:rFonts w:cs="Arial"/>
          <w:sz w:val="20"/>
        </w:rPr>
        <w:t>, 92</w:t>
      </w:r>
      <w:r w:rsidR="00FD29BB">
        <w:rPr>
          <w:rFonts w:cs="Arial"/>
          <w:sz w:val="20"/>
        </w:rPr>
        <w:t>549 Montrouge Cédex</w:t>
      </w:r>
      <w:r w:rsidRPr="006C3CEB">
        <w:rPr>
          <w:rFonts w:cs="Arial"/>
          <w:sz w:val="20"/>
        </w:rPr>
        <w:t>,</w:t>
      </w:r>
      <w:r w:rsidRPr="003D1FC2">
        <w:rPr>
          <w:rFonts w:cs="Arial"/>
          <w:sz w:val="20"/>
        </w:rPr>
        <w:t xml:space="preserve"> soit dans les comptes de titres au porteur tenus par un </w:t>
      </w:r>
      <w:r w:rsidRPr="003D1FC2">
        <w:rPr>
          <w:rStyle w:val="Accentuation"/>
          <w:rFonts w:cs="Arial"/>
          <w:i w:val="0"/>
          <w:sz w:val="20"/>
        </w:rPr>
        <w:t>intermédiaire mentionné à l'article L 211-3 du Code monétaire et financier</w:t>
      </w:r>
      <w:r w:rsidRPr="003D1FC2">
        <w:rPr>
          <w:rFonts w:cs="Arial"/>
          <w:sz w:val="20"/>
        </w:rPr>
        <w:t>, teneur de leur compte titres.</w:t>
      </w:r>
    </w:p>
    <w:p w14:paraId="63DF69BE" w14:textId="614BF20C" w:rsidR="007F0215" w:rsidRDefault="007F0215" w:rsidP="00D0250C">
      <w:pPr>
        <w:pStyle w:val="Corpsdetexte32"/>
        <w:tabs>
          <w:tab w:val="left" w:pos="2880"/>
        </w:tabs>
        <w:rPr>
          <w:rFonts w:cs="Arial"/>
          <w:sz w:val="20"/>
        </w:rPr>
      </w:pPr>
    </w:p>
    <w:p w14:paraId="39919A17" w14:textId="77777777" w:rsidR="007F0215" w:rsidRPr="003D1FC2" w:rsidRDefault="007F0215" w:rsidP="00D0250C">
      <w:pPr>
        <w:pStyle w:val="Corpsdetexte32"/>
        <w:tabs>
          <w:tab w:val="left" w:pos="2880"/>
        </w:tabs>
        <w:rPr>
          <w:rFonts w:cs="Arial"/>
          <w:sz w:val="20"/>
        </w:rPr>
      </w:pPr>
    </w:p>
    <w:p w14:paraId="1E20F31B" w14:textId="77777777" w:rsidR="00D0250C" w:rsidRPr="003D1FC2" w:rsidRDefault="00D0250C" w:rsidP="00D0250C">
      <w:pPr>
        <w:pStyle w:val="Corpsdetexte32"/>
        <w:tabs>
          <w:tab w:val="left" w:pos="2880"/>
        </w:tabs>
        <w:rPr>
          <w:rFonts w:cs="Arial"/>
          <w:sz w:val="20"/>
        </w:rPr>
      </w:pPr>
    </w:p>
    <w:p w14:paraId="711B15CB" w14:textId="77777777" w:rsidR="00D0250C" w:rsidRPr="003D1FC2" w:rsidRDefault="00D0250C" w:rsidP="00D0250C">
      <w:pPr>
        <w:pStyle w:val="Corpsdetexte32"/>
        <w:tabs>
          <w:tab w:val="left" w:pos="2880"/>
        </w:tabs>
        <w:rPr>
          <w:rFonts w:cs="Arial"/>
          <w:sz w:val="20"/>
        </w:rPr>
      </w:pPr>
      <w:r w:rsidRPr="003D1FC2">
        <w:rPr>
          <w:rFonts w:cs="Arial"/>
          <w:sz w:val="20"/>
        </w:rPr>
        <w:lastRenderedPageBreak/>
        <w:t xml:space="preserve">L’inscription des titres dans les comptes de titres au porteur tenus par un intermédiaire </w:t>
      </w:r>
      <w:r w:rsidRPr="003D1FC2">
        <w:rPr>
          <w:rStyle w:val="Accentuation"/>
          <w:rFonts w:cs="Arial"/>
          <w:i w:val="0"/>
          <w:sz w:val="20"/>
        </w:rPr>
        <w:t>mentionné à l'article L</w:t>
      </w:r>
      <w:r w:rsidR="002D7B7F">
        <w:rPr>
          <w:rStyle w:val="Accentuation"/>
          <w:rFonts w:cs="Arial"/>
          <w:i w:val="0"/>
          <w:sz w:val="20"/>
        </w:rPr>
        <w:t>.</w:t>
      </w:r>
      <w:r w:rsidRPr="003D1FC2">
        <w:rPr>
          <w:rStyle w:val="Accentuation"/>
          <w:rFonts w:cs="Arial"/>
          <w:i w:val="0"/>
          <w:sz w:val="20"/>
        </w:rPr>
        <w:t xml:space="preserve"> 211-3 du Code monétaire et financier</w:t>
      </w:r>
      <w:r w:rsidRPr="003D1FC2">
        <w:rPr>
          <w:rFonts w:cs="Arial"/>
          <w:i/>
          <w:sz w:val="20"/>
        </w:rPr>
        <w:t xml:space="preserve"> </w:t>
      </w:r>
      <w:r w:rsidRPr="003D1FC2">
        <w:rPr>
          <w:rFonts w:cs="Arial"/>
          <w:sz w:val="20"/>
        </w:rPr>
        <w:t>doit être constaté par une attestation de participation délivrée par ce dernier, annexée au formulaire de vote à distance ou de procuration ou à la demande de carte d’admission établis au nom de l’actionnaire ou pour le compte de l’actionnaire représenté par l’intermédiaire inscrit. Une attestation est également délivrée à l’actionnaire souhaitant participer physiquement à l’assemblée et qui n’a pas reçu sa carte d’admission le deuxième jour ouvré précédant l’assemblée à zéro heure, heure de Paris.</w:t>
      </w:r>
    </w:p>
    <w:p w14:paraId="371FF56C" w14:textId="77777777" w:rsidR="00D0250C" w:rsidRPr="003D1FC2" w:rsidRDefault="00D0250C" w:rsidP="00D0250C">
      <w:pPr>
        <w:pStyle w:val="Corpsdetexte32"/>
        <w:tabs>
          <w:tab w:val="left" w:pos="2880"/>
        </w:tabs>
        <w:rPr>
          <w:rFonts w:cs="Arial"/>
          <w:sz w:val="20"/>
        </w:rPr>
      </w:pPr>
    </w:p>
    <w:p w14:paraId="601700A1" w14:textId="77777777" w:rsidR="00D0250C" w:rsidRPr="003D1FC2" w:rsidRDefault="00D0250C" w:rsidP="00D0250C">
      <w:pPr>
        <w:pStyle w:val="Corpsdetexte32"/>
        <w:tabs>
          <w:tab w:val="left" w:pos="2880"/>
        </w:tabs>
        <w:rPr>
          <w:rFonts w:cs="Arial"/>
          <w:sz w:val="20"/>
        </w:rPr>
      </w:pPr>
      <w:r w:rsidRPr="003D1FC2">
        <w:rPr>
          <w:rFonts w:cs="Arial"/>
          <w:sz w:val="20"/>
        </w:rPr>
        <w:t>A défaut d'assister personnellement à l'Assemblée, les actionnaires peuvent choisir entre l'une des trois formules suivantes :</w:t>
      </w:r>
    </w:p>
    <w:p w14:paraId="6D801CDE" w14:textId="77777777" w:rsidR="00D0250C" w:rsidRPr="003D1FC2" w:rsidRDefault="00D0250C" w:rsidP="00D0250C">
      <w:pPr>
        <w:pStyle w:val="Corpsdetexte32"/>
        <w:numPr>
          <w:ilvl w:val="0"/>
          <w:numId w:val="1"/>
        </w:numPr>
        <w:tabs>
          <w:tab w:val="left" w:pos="709"/>
        </w:tabs>
        <w:rPr>
          <w:rFonts w:cs="Arial"/>
          <w:sz w:val="20"/>
        </w:rPr>
      </w:pPr>
      <w:proofErr w:type="gramStart"/>
      <w:r w:rsidRPr="003D1FC2">
        <w:rPr>
          <w:rFonts w:cs="Arial"/>
          <w:sz w:val="20"/>
        </w:rPr>
        <w:t>donner</w:t>
      </w:r>
      <w:proofErr w:type="gramEnd"/>
      <w:r w:rsidRPr="003D1FC2">
        <w:rPr>
          <w:rFonts w:cs="Arial"/>
          <w:sz w:val="20"/>
        </w:rPr>
        <w:t xml:space="preserve"> une procuration à un autre actionnaire, son conjoint ou partenaire avec lequel il a conclu un PACS ou toute personne de son choix ;</w:t>
      </w:r>
    </w:p>
    <w:p w14:paraId="66E05E91" w14:textId="77777777" w:rsidR="00D0250C" w:rsidRPr="003D1FC2" w:rsidRDefault="00D0250C" w:rsidP="00D0250C">
      <w:pPr>
        <w:pStyle w:val="Corpsdetexte32"/>
        <w:numPr>
          <w:ilvl w:val="0"/>
          <w:numId w:val="1"/>
        </w:numPr>
        <w:tabs>
          <w:tab w:val="left" w:pos="709"/>
        </w:tabs>
        <w:rPr>
          <w:rFonts w:cs="Arial"/>
          <w:sz w:val="20"/>
        </w:rPr>
      </w:pPr>
      <w:proofErr w:type="gramStart"/>
      <w:r w:rsidRPr="003D1FC2">
        <w:rPr>
          <w:rFonts w:cs="Arial"/>
          <w:sz w:val="20"/>
        </w:rPr>
        <w:t>adresser</w:t>
      </w:r>
      <w:proofErr w:type="gramEnd"/>
      <w:r w:rsidRPr="003D1FC2">
        <w:rPr>
          <w:rFonts w:cs="Arial"/>
          <w:sz w:val="20"/>
        </w:rPr>
        <w:t xml:space="preserve"> une procuration à la société sans indication de mandat ;</w:t>
      </w:r>
    </w:p>
    <w:p w14:paraId="4898CC7F" w14:textId="77777777" w:rsidR="00D0250C" w:rsidRPr="003D1FC2" w:rsidRDefault="00D0250C" w:rsidP="00D0250C">
      <w:pPr>
        <w:pStyle w:val="Corpsdetexte32"/>
        <w:numPr>
          <w:ilvl w:val="0"/>
          <w:numId w:val="1"/>
        </w:numPr>
        <w:tabs>
          <w:tab w:val="left" w:pos="709"/>
        </w:tabs>
        <w:rPr>
          <w:rFonts w:cs="Arial"/>
          <w:sz w:val="20"/>
        </w:rPr>
      </w:pPr>
      <w:proofErr w:type="gramStart"/>
      <w:r w:rsidRPr="003D1FC2">
        <w:rPr>
          <w:rFonts w:cs="Arial"/>
          <w:sz w:val="20"/>
        </w:rPr>
        <w:t>voter</w:t>
      </w:r>
      <w:proofErr w:type="gramEnd"/>
      <w:r w:rsidRPr="003D1FC2">
        <w:rPr>
          <w:rFonts w:cs="Arial"/>
          <w:sz w:val="20"/>
        </w:rPr>
        <w:t xml:space="preserve"> par correspondance.</w:t>
      </w:r>
    </w:p>
    <w:p w14:paraId="28EA0C97" w14:textId="77777777" w:rsidR="00D0250C" w:rsidRPr="003D1FC2" w:rsidRDefault="00D0250C" w:rsidP="00D0250C">
      <w:pPr>
        <w:pStyle w:val="Corpsdetexte32"/>
        <w:tabs>
          <w:tab w:val="left" w:pos="2880"/>
        </w:tabs>
        <w:rPr>
          <w:rFonts w:cs="Arial"/>
          <w:sz w:val="20"/>
        </w:rPr>
      </w:pPr>
    </w:p>
    <w:p w14:paraId="35F1B846" w14:textId="77777777" w:rsidR="00D0250C" w:rsidRPr="003D1FC2" w:rsidRDefault="00D0250C" w:rsidP="00D0250C">
      <w:pPr>
        <w:pStyle w:val="Corpsdetexte32"/>
        <w:tabs>
          <w:tab w:val="left" w:pos="2880"/>
        </w:tabs>
        <w:rPr>
          <w:rFonts w:cs="Arial"/>
          <w:sz w:val="20"/>
        </w:rPr>
      </w:pPr>
      <w:r w:rsidRPr="003D1FC2">
        <w:rPr>
          <w:rFonts w:cs="Arial"/>
          <w:sz w:val="20"/>
        </w:rPr>
        <w:t>A compter de la convocation, les actionnaires au porteur pourront, demander par écrit à leur intermédiaire financier de leur adresser le formulaire unique de vote par correspondance ou par</w:t>
      </w:r>
      <w:r>
        <w:rPr>
          <w:rFonts w:cs="Arial"/>
          <w:sz w:val="20"/>
        </w:rPr>
        <w:t xml:space="preserve"> </w:t>
      </w:r>
      <w:r w:rsidRPr="003D1FC2">
        <w:rPr>
          <w:rFonts w:cs="Arial"/>
          <w:sz w:val="20"/>
        </w:rPr>
        <w:t xml:space="preserve">procuration. Il sera fait droit aux demandes reçues au plus tard six jours avant la date de l'Assemblée. </w:t>
      </w:r>
    </w:p>
    <w:p w14:paraId="153730D8" w14:textId="77777777" w:rsidR="00D0250C" w:rsidRPr="003D1FC2" w:rsidRDefault="00D0250C" w:rsidP="00D0250C">
      <w:pPr>
        <w:pStyle w:val="Corpsdetexte32"/>
        <w:tabs>
          <w:tab w:val="left" w:pos="2880"/>
        </w:tabs>
        <w:rPr>
          <w:rFonts w:cs="Arial"/>
          <w:sz w:val="20"/>
        </w:rPr>
      </w:pPr>
    </w:p>
    <w:p w14:paraId="01599907" w14:textId="7A90325A" w:rsidR="00D0250C" w:rsidRPr="003D1FC2" w:rsidRDefault="00D0250C" w:rsidP="00D0250C">
      <w:pPr>
        <w:pStyle w:val="Corpsdetexte32"/>
        <w:tabs>
          <w:tab w:val="left" w:pos="2880"/>
        </w:tabs>
        <w:rPr>
          <w:rFonts w:cs="Arial"/>
          <w:sz w:val="20"/>
        </w:rPr>
      </w:pPr>
      <w:r w:rsidRPr="003D1FC2">
        <w:rPr>
          <w:rFonts w:cs="Arial"/>
          <w:sz w:val="20"/>
        </w:rPr>
        <w:t xml:space="preserve">Ce formulaire devra être renvoyé, accompagné pour les actionnaires au porteur de leur attestation de participation. Le formulaire de vote par correspondance devra être reçu par email à </w:t>
      </w:r>
      <w:hyperlink r:id="rId7" w:history="1">
        <w:r w:rsidR="008112D6" w:rsidRPr="007D4E40">
          <w:rPr>
            <w:rStyle w:val="Lienhypertexte"/>
            <w:rFonts w:cs="Arial"/>
            <w:sz w:val="20"/>
          </w:rPr>
          <w:t>sf@kko-international.com</w:t>
        </w:r>
      </w:hyperlink>
      <w:r w:rsidR="008112D6">
        <w:rPr>
          <w:rFonts w:cs="Arial"/>
          <w:sz w:val="20"/>
        </w:rPr>
        <w:t xml:space="preserve"> </w:t>
      </w:r>
      <w:r w:rsidRPr="003D1FC2">
        <w:rPr>
          <w:rFonts w:cs="Arial"/>
          <w:sz w:val="20"/>
        </w:rPr>
        <w:t xml:space="preserve">ou par lettre à l’attention de KKO INTERNATIONAL – 9 avenue Bugeaud – 75116 PARIS </w:t>
      </w:r>
      <w:r w:rsidRPr="006C3CEB">
        <w:rPr>
          <w:rFonts w:cs="Arial"/>
          <w:sz w:val="20"/>
        </w:rPr>
        <w:t>ou à </w:t>
      </w:r>
      <w:r w:rsidR="0018104D" w:rsidRPr="006C3CEB">
        <w:rPr>
          <w:rFonts w:cs="Arial"/>
          <w:sz w:val="20"/>
        </w:rPr>
        <w:t>CACEIS</w:t>
      </w:r>
      <w:r w:rsidR="0018104D">
        <w:rPr>
          <w:rFonts w:cs="Arial"/>
          <w:sz w:val="20"/>
        </w:rPr>
        <w:t xml:space="preserve"> </w:t>
      </w:r>
      <w:proofErr w:type="spellStart"/>
      <w:r w:rsidR="0018104D">
        <w:rPr>
          <w:rFonts w:cs="Arial"/>
          <w:sz w:val="20"/>
        </w:rPr>
        <w:t>Corporate</w:t>
      </w:r>
      <w:proofErr w:type="spellEnd"/>
      <w:r w:rsidR="0018104D">
        <w:rPr>
          <w:rFonts w:cs="Arial"/>
          <w:sz w:val="20"/>
        </w:rPr>
        <w:t xml:space="preserve"> Trust – Service Assemblées Générales – 12 place des Etats-Unis, CS 40083</w:t>
      </w:r>
      <w:r w:rsidR="0018104D" w:rsidRPr="006C3CEB">
        <w:rPr>
          <w:rFonts w:cs="Arial"/>
          <w:sz w:val="20"/>
        </w:rPr>
        <w:t>, 92</w:t>
      </w:r>
      <w:r w:rsidR="0018104D">
        <w:rPr>
          <w:rFonts w:cs="Arial"/>
          <w:sz w:val="20"/>
        </w:rPr>
        <w:t>549 Montrouge Cédex</w:t>
      </w:r>
      <w:r>
        <w:rPr>
          <w:rFonts w:cs="Arial"/>
          <w:sz w:val="20"/>
        </w:rPr>
        <w:t xml:space="preserve"> </w:t>
      </w:r>
      <w:r w:rsidRPr="003D1FC2">
        <w:rPr>
          <w:rFonts w:cs="Arial"/>
          <w:sz w:val="20"/>
        </w:rPr>
        <w:t>au plus tard trois jours avant la tenue de l'Assemblée.</w:t>
      </w:r>
    </w:p>
    <w:p w14:paraId="65504AC0" w14:textId="77777777" w:rsidR="00D0250C" w:rsidRPr="003D1FC2" w:rsidRDefault="00D0250C" w:rsidP="00D0250C">
      <w:pPr>
        <w:pStyle w:val="Corpsdetexte32"/>
        <w:tabs>
          <w:tab w:val="left" w:pos="2880"/>
        </w:tabs>
        <w:rPr>
          <w:rFonts w:cs="Arial"/>
          <w:sz w:val="20"/>
        </w:rPr>
      </w:pPr>
    </w:p>
    <w:p w14:paraId="5450A435" w14:textId="77777777" w:rsidR="00D0250C" w:rsidRPr="003D1FC2" w:rsidRDefault="00D0250C" w:rsidP="00D0250C">
      <w:pPr>
        <w:tabs>
          <w:tab w:val="right" w:pos="2217"/>
          <w:tab w:val="left" w:pos="2880"/>
        </w:tabs>
        <w:ind w:right="112"/>
        <w:rPr>
          <w:rFonts w:ascii="Arial" w:hAnsi="Arial" w:cs="Arial"/>
          <w:sz w:val="20"/>
          <w:highlight w:val="yellow"/>
        </w:rPr>
      </w:pPr>
      <w:r w:rsidRPr="003D1FC2">
        <w:rPr>
          <w:rFonts w:ascii="Arial" w:hAnsi="Arial" w:cs="Arial"/>
          <w:sz w:val="20"/>
        </w:rPr>
        <w:t>Les propriétaires d'actions au porteur devront accompagner leur formulaire de l’attestation de participation délivrée par un intermédiaire</w:t>
      </w:r>
      <w:r w:rsidRPr="003D1FC2">
        <w:rPr>
          <w:rStyle w:val="Accentuation"/>
          <w:rFonts w:ascii="Arial" w:hAnsi="Arial" w:cs="Arial"/>
          <w:sz w:val="20"/>
        </w:rPr>
        <w:t xml:space="preserve"> </w:t>
      </w:r>
      <w:r w:rsidRPr="003D1FC2">
        <w:rPr>
          <w:rStyle w:val="Accentuation"/>
          <w:rFonts w:ascii="Arial" w:hAnsi="Arial" w:cs="Arial"/>
          <w:i w:val="0"/>
          <w:sz w:val="20"/>
        </w:rPr>
        <w:t>mentionné à l'article L</w:t>
      </w:r>
      <w:r w:rsidR="002D7B7F">
        <w:rPr>
          <w:rStyle w:val="Accentuation"/>
          <w:rFonts w:ascii="Arial" w:hAnsi="Arial" w:cs="Arial"/>
          <w:i w:val="0"/>
          <w:sz w:val="20"/>
        </w:rPr>
        <w:t>.</w:t>
      </w:r>
      <w:r w:rsidRPr="003D1FC2">
        <w:rPr>
          <w:rStyle w:val="Accentuation"/>
          <w:rFonts w:ascii="Arial" w:hAnsi="Arial" w:cs="Arial"/>
          <w:i w:val="0"/>
          <w:sz w:val="20"/>
        </w:rPr>
        <w:t xml:space="preserve"> 211-3 du Code monétaire et financier</w:t>
      </w:r>
      <w:r w:rsidRPr="003D1FC2">
        <w:rPr>
          <w:rFonts w:ascii="Arial" w:hAnsi="Arial" w:cs="Arial"/>
          <w:i/>
          <w:sz w:val="20"/>
        </w:rPr>
        <w:t>.</w:t>
      </w:r>
    </w:p>
    <w:p w14:paraId="34B85F3E" w14:textId="77777777" w:rsidR="00D0250C" w:rsidRPr="003D1FC2" w:rsidRDefault="00D0250C" w:rsidP="00D0250C">
      <w:pPr>
        <w:tabs>
          <w:tab w:val="left" w:pos="2880"/>
        </w:tabs>
        <w:rPr>
          <w:rFonts w:ascii="Arial" w:hAnsi="Arial" w:cs="Arial"/>
          <w:sz w:val="20"/>
        </w:rPr>
      </w:pPr>
    </w:p>
    <w:p w14:paraId="202AAD22" w14:textId="77777777" w:rsidR="00D0250C" w:rsidRPr="003D1FC2" w:rsidRDefault="00D0250C" w:rsidP="00D0250C">
      <w:pPr>
        <w:tabs>
          <w:tab w:val="left" w:pos="2880"/>
        </w:tabs>
        <w:rPr>
          <w:rFonts w:ascii="Arial" w:hAnsi="Arial" w:cs="Arial"/>
          <w:sz w:val="20"/>
        </w:rPr>
      </w:pPr>
      <w:r w:rsidRPr="003D1FC2">
        <w:rPr>
          <w:rFonts w:ascii="Arial" w:hAnsi="Arial" w:cs="Arial"/>
          <w:sz w:val="20"/>
        </w:rPr>
        <w:t>Tout actionnaire ayant déjà voté par correspondance, envoyé un pouvoir, demandé sa carte d’admission ou une attestation de participation, n’aura plus la possibilité de choisir un autre mode de participation à l’assemblée.</w:t>
      </w:r>
    </w:p>
    <w:p w14:paraId="2040C280" w14:textId="77777777" w:rsidR="00D0250C" w:rsidRPr="003D1FC2" w:rsidRDefault="00D0250C" w:rsidP="00D0250C">
      <w:pPr>
        <w:tabs>
          <w:tab w:val="left" w:pos="2880"/>
        </w:tabs>
        <w:rPr>
          <w:rFonts w:ascii="Arial" w:hAnsi="Arial" w:cs="Arial"/>
          <w:sz w:val="20"/>
        </w:rPr>
      </w:pPr>
    </w:p>
    <w:p w14:paraId="6F727779" w14:textId="77777777" w:rsidR="00D0250C" w:rsidRPr="003D1FC2" w:rsidRDefault="00D0250C" w:rsidP="00D0250C">
      <w:pPr>
        <w:pStyle w:val="Corpsdetexte"/>
        <w:tabs>
          <w:tab w:val="left" w:pos="2880"/>
        </w:tabs>
        <w:rPr>
          <w:rFonts w:ascii="Arial" w:hAnsi="Arial" w:cs="Arial"/>
          <w:sz w:val="20"/>
          <w:lang w:val="fr-FR"/>
        </w:rPr>
      </w:pPr>
      <w:r w:rsidRPr="003D1FC2">
        <w:rPr>
          <w:rFonts w:ascii="Arial" w:hAnsi="Arial" w:cs="Arial"/>
          <w:sz w:val="20"/>
          <w:lang w:val="fr-FR"/>
        </w:rPr>
        <w:t>Conformément aux dispositions légales, le texte des résolutions proposées à l'adoption de l'assemblée générale, le texte intégral des projets de résolutions présentées, le cas échéant, par les actionnaires, avec leur exposé des motifs, et le texte intégral des documents prévus par la loi, seront tenus à la disposition des actionnaires au siège social de la Société pendant le délai réglementaire à compter de la convocation de l'assemblée générale.</w:t>
      </w:r>
    </w:p>
    <w:p w14:paraId="155E4808" w14:textId="77777777" w:rsidR="00D0250C" w:rsidRPr="003D1FC2" w:rsidRDefault="00D0250C" w:rsidP="00D0250C">
      <w:pPr>
        <w:tabs>
          <w:tab w:val="left" w:pos="2880"/>
        </w:tabs>
        <w:rPr>
          <w:rFonts w:ascii="Arial" w:hAnsi="Arial" w:cs="Arial"/>
          <w:sz w:val="20"/>
        </w:rPr>
      </w:pPr>
    </w:p>
    <w:p w14:paraId="5CFE241C" w14:textId="34F74E13" w:rsidR="00D0250C" w:rsidRPr="003D1FC2" w:rsidRDefault="00D0250C" w:rsidP="00D0250C">
      <w:pPr>
        <w:tabs>
          <w:tab w:val="right" w:pos="1694"/>
          <w:tab w:val="left" w:pos="7063"/>
        </w:tabs>
        <w:ind w:right="-1"/>
        <w:rPr>
          <w:rFonts w:ascii="Arial" w:hAnsi="Arial" w:cs="Arial"/>
          <w:sz w:val="20"/>
        </w:rPr>
      </w:pPr>
      <w:r w:rsidRPr="003D1FC2">
        <w:rPr>
          <w:rFonts w:ascii="Arial" w:hAnsi="Arial" w:cs="Arial"/>
          <w:sz w:val="20"/>
        </w:rPr>
        <w:t xml:space="preserve">Les actionnaires peuvent, jusqu’à 25 jours avant l’assemblée générale, adresser au siège de la Société à l’attention du </w:t>
      </w:r>
      <w:r w:rsidRPr="008B00E3">
        <w:rPr>
          <w:rFonts w:ascii="Arial" w:hAnsi="Arial" w:cs="Arial"/>
          <w:sz w:val="20"/>
        </w:rPr>
        <w:t>Président du Conseil d’administration</w:t>
      </w:r>
      <w:r w:rsidRPr="003D1FC2">
        <w:rPr>
          <w:rFonts w:ascii="Arial" w:hAnsi="Arial" w:cs="Arial"/>
          <w:sz w:val="20"/>
        </w:rPr>
        <w:t xml:space="preserve"> par lettre recommandée avec demande d'avis de réception ou par email à </w:t>
      </w:r>
      <w:hyperlink r:id="rId8" w:history="1">
        <w:r w:rsidR="008112D6" w:rsidRPr="007D4E40">
          <w:rPr>
            <w:rStyle w:val="Lienhypertexte"/>
            <w:rFonts w:ascii="Arial" w:hAnsi="Arial" w:cs="Arial"/>
            <w:sz w:val="20"/>
          </w:rPr>
          <w:t>sf@kko-international.com</w:t>
        </w:r>
      </w:hyperlink>
      <w:r w:rsidRPr="003D1FC2">
        <w:rPr>
          <w:rFonts w:ascii="Arial" w:hAnsi="Arial" w:cs="Arial"/>
          <w:sz w:val="20"/>
        </w:rPr>
        <w:t>, et dans les conditions prévues par l'article R</w:t>
      </w:r>
      <w:r w:rsidR="002D7B7F">
        <w:rPr>
          <w:rFonts w:ascii="Arial" w:hAnsi="Arial" w:cs="Arial"/>
          <w:sz w:val="20"/>
        </w:rPr>
        <w:t>.</w:t>
      </w:r>
      <w:r w:rsidRPr="003D1FC2">
        <w:rPr>
          <w:rFonts w:ascii="Arial" w:hAnsi="Arial" w:cs="Arial"/>
          <w:sz w:val="20"/>
        </w:rPr>
        <w:t xml:space="preserve"> 225-71 du Code de commerce, une demande d'inscription de points ou de projets de résolutions à l'ordre du jour de l'assemblée.</w:t>
      </w:r>
    </w:p>
    <w:p w14:paraId="1CBC31C5" w14:textId="77777777" w:rsidR="00D0250C" w:rsidRPr="003D1FC2" w:rsidRDefault="00D0250C" w:rsidP="00D0250C">
      <w:pPr>
        <w:tabs>
          <w:tab w:val="right" w:pos="1694"/>
          <w:tab w:val="left" w:pos="7063"/>
        </w:tabs>
        <w:ind w:right="-1"/>
        <w:rPr>
          <w:rFonts w:ascii="Arial" w:hAnsi="Arial" w:cs="Arial"/>
          <w:sz w:val="20"/>
        </w:rPr>
      </w:pPr>
    </w:p>
    <w:p w14:paraId="7ACE261C" w14:textId="77777777" w:rsidR="00D0250C" w:rsidRPr="003D1FC2" w:rsidRDefault="00D0250C" w:rsidP="00D0250C">
      <w:pPr>
        <w:tabs>
          <w:tab w:val="right" w:pos="1694"/>
          <w:tab w:val="left" w:pos="7063"/>
        </w:tabs>
        <w:ind w:right="-1"/>
        <w:rPr>
          <w:rFonts w:ascii="Arial" w:hAnsi="Arial" w:cs="Arial"/>
          <w:sz w:val="20"/>
        </w:rPr>
      </w:pPr>
      <w:r w:rsidRPr="003D1FC2">
        <w:rPr>
          <w:rFonts w:ascii="Arial" w:hAnsi="Arial" w:cs="Arial"/>
          <w:sz w:val="20"/>
        </w:rPr>
        <w:t>Cette demande devra être accompagnée d’une attestation d’inscription en compte justifiant de la détention de capital minimum requis visé à l’article R</w:t>
      </w:r>
      <w:r w:rsidR="005450A4">
        <w:rPr>
          <w:rFonts w:ascii="Arial" w:hAnsi="Arial" w:cs="Arial"/>
          <w:sz w:val="20"/>
        </w:rPr>
        <w:t>.</w:t>
      </w:r>
      <w:r w:rsidRPr="003D1FC2">
        <w:rPr>
          <w:rFonts w:ascii="Arial" w:hAnsi="Arial" w:cs="Arial"/>
          <w:sz w:val="20"/>
        </w:rPr>
        <w:t xml:space="preserve"> 225-71 du Code de commerce.</w:t>
      </w:r>
    </w:p>
    <w:p w14:paraId="5198EE51" w14:textId="77777777" w:rsidR="00D0250C" w:rsidRPr="003D1FC2" w:rsidRDefault="00D0250C" w:rsidP="00D0250C">
      <w:pPr>
        <w:pStyle w:val="NormalWeb"/>
        <w:jc w:val="both"/>
        <w:rPr>
          <w:rFonts w:ascii="Arial" w:hAnsi="Arial" w:cs="Arial"/>
          <w:sz w:val="20"/>
          <w:szCs w:val="20"/>
        </w:rPr>
      </w:pPr>
      <w:r w:rsidRPr="003D1FC2">
        <w:rPr>
          <w:rFonts w:ascii="Arial" w:hAnsi="Arial" w:cs="Arial"/>
          <w:sz w:val="20"/>
          <w:szCs w:val="20"/>
        </w:rPr>
        <w:t>La demande d'inscription d'un point à l'ordre du jour doit être motivée.</w:t>
      </w:r>
    </w:p>
    <w:p w14:paraId="72FB73DD" w14:textId="77777777" w:rsidR="00D0250C" w:rsidRPr="003D1FC2" w:rsidRDefault="00D0250C" w:rsidP="00D0250C">
      <w:pPr>
        <w:pStyle w:val="NormalWeb"/>
        <w:jc w:val="both"/>
        <w:rPr>
          <w:rFonts w:ascii="Arial" w:hAnsi="Arial" w:cs="Arial"/>
          <w:sz w:val="20"/>
          <w:szCs w:val="20"/>
        </w:rPr>
      </w:pPr>
      <w:r w:rsidRPr="003D1FC2">
        <w:rPr>
          <w:rFonts w:ascii="Arial" w:hAnsi="Arial" w:cs="Arial"/>
          <w:sz w:val="20"/>
          <w:szCs w:val="20"/>
        </w:rPr>
        <w:t>La demande d'inscription de projets de résolutions est accompagnée du texte des projets de résolutions, qui peuvent être assortis d'un bref exposé des motifs.</w:t>
      </w:r>
    </w:p>
    <w:p w14:paraId="3398C857" w14:textId="77777777" w:rsidR="00D0250C" w:rsidRPr="003D1FC2" w:rsidRDefault="00D0250C" w:rsidP="00D0250C">
      <w:pPr>
        <w:pStyle w:val="NormalWeb"/>
        <w:jc w:val="both"/>
        <w:rPr>
          <w:rFonts w:ascii="Arial" w:hAnsi="Arial" w:cs="Arial"/>
          <w:sz w:val="20"/>
          <w:szCs w:val="20"/>
        </w:rPr>
      </w:pPr>
      <w:r w:rsidRPr="003D1FC2">
        <w:rPr>
          <w:rFonts w:ascii="Arial" w:hAnsi="Arial" w:cs="Arial"/>
          <w:sz w:val="20"/>
          <w:szCs w:val="20"/>
        </w:rPr>
        <w:t>En outre, l’examen par l’assemblée générale des points ou des projets de résolutions, déposés par les actionnaires, est subordonné à la transmission, par les auteurs de la demande, d’une nouvelle attestation justifiant de l’enregistrement comptable des titres dans les mêmes comptes au deuxième jour ouvré précédant l’assemblée générale à zéro heure, heure de Paris.</w:t>
      </w:r>
    </w:p>
    <w:p w14:paraId="074A908B" w14:textId="081EF421" w:rsidR="00D0250C" w:rsidRPr="003D1FC2" w:rsidRDefault="00D0250C" w:rsidP="00D0250C">
      <w:pPr>
        <w:pStyle w:val="NormalWeb"/>
        <w:jc w:val="both"/>
        <w:rPr>
          <w:rFonts w:ascii="Arial" w:hAnsi="Arial" w:cs="Arial"/>
          <w:sz w:val="20"/>
          <w:szCs w:val="20"/>
        </w:rPr>
      </w:pPr>
      <w:r w:rsidRPr="003D1FC2">
        <w:rPr>
          <w:rFonts w:ascii="Arial" w:hAnsi="Arial" w:cs="Arial"/>
          <w:sz w:val="20"/>
          <w:szCs w:val="20"/>
        </w:rPr>
        <w:t xml:space="preserve">Les questions écrites que les actionnaires peuvent poser avant l’assemblée générale, doivent être envoyées au siège social, par lettre recommandée avec demande d’avis de réception adressée au </w:t>
      </w:r>
      <w:r w:rsidRPr="008B00E3">
        <w:rPr>
          <w:rFonts w:ascii="Arial" w:hAnsi="Arial" w:cs="Arial"/>
          <w:sz w:val="20"/>
          <w:szCs w:val="20"/>
        </w:rPr>
        <w:t>Président du Conseil d’administration</w:t>
      </w:r>
      <w:r w:rsidRPr="003D1FC2">
        <w:rPr>
          <w:rFonts w:ascii="Arial" w:hAnsi="Arial" w:cs="Arial"/>
          <w:sz w:val="20"/>
          <w:szCs w:val="20"/>
        </w:rPr>
        <w:t xml:space="preserve"> ou par email à </w:t>
      </w:r>
      <w:hyperlink r:id="rId9" w:history="1">
        <w:r w:rsidR="008112D6" w:rsidRPr="007D4E40">
          <w:rPr>
            <w:rStyle w:val="Lienhypertexte"/>
            <w:rFonts w:ascii="Arial" w:hAnsi="Arial" w:cs="Arial"/>
            <w:sz w:val="20"/>
            <w:szCs w:val="20"/>
          </w:rPr>
          <w:t>sf@kko-international.com</w:t>
        </w:r>
      </w:hyperlink>
      <w:r w:rsidRPr="003D1FC2">
        <w:rPr>
          <w:rFonts w:ascii="Arial" w:hAnsi="Arial" w:cs="Arial"/>
          <w:sz w:val="20"/>
          <w:szCs w:val="20"/>
        </w:rPr>
        <w:t>, au plus tard le quatrième jour ouvré précédant la date de l’assemblée générale. Elles sont accompagnées d’une attestation d’inscription en compte.</w:t>
      </w:r>
    </w:p>
    <w:p w14:paraId="5297DD4A" w14:textId="77777777" w:rsidR="00D0250C" w:rsidRPr="003D1FC2" w:rsidRDefault="00D0250C" w:rsidP="00D0250C">
      <w:pPr>
        <w:pStyle w:val="Item1"/>
        <w:keepNext w:val="0"/>
        <w:keepLines w:val="0"/>
        <w:tabs>
          <w:tab w:val="clear" w:pos="360"/>
          <w:tab w:val="left" w:pos="2880"/>
        </w:tabs>
        <w:spacing w:before="0"/>
        <w:rPr>
          <w:rFonts w:ascii="Arial" w:hAnsi="Arial" w:cs="Arial"/>
          <w:sz w:val="20"/>
        </w:rPr>
      </w:pPr>
      <w:r w:rsidRPr="0086753D">
        <w:rPr>
          <w:rFonts w:ascii="Arial" w:hAnsi="Arial" w:cs="Arial"/>
          <w:sz w:val="20"/>
        </w:rPr>
        <w:lastRenderedPageBreak/>
        <w:t>Les modalités de participations et de vote par visioconférence ou par moyen de télécommunication n’ont pas été retenues pour la réunion de l’assemblée générale mixte</w:t>
      </w:r>
      <w:r>
        <w:rPr>
          <w:rFonts w:ascii="Arial" w:hAnsi="Arial" w:cs="Arial"/>
          <w:sz w:val="20"/>
        </w:rPr>
        <w:t xml:space="preserve"> et a</w:t>
      </w:r>
      <w:r w:rsidRPr="0086753D">
        <w:rPr>
          <w:rFonts w:ascii="Arial" w:hAnsi="Arial" w:cs="Arial"/>
          <w:sz w:val="20"/>
        </w:rPr>
        <w:t>ucun site visé à l’article R</w:t>
      </w:r>
      <w:r w:rsidR="002D7B7F">
        <w:rPr>
          <w:rFonts w:ascii="Arial" w:hAnsi="Arial" w:cs="Arial"/>
          <w:sz w:val="20"/>
        </w:rPr>
        <w:t>.</w:t>
      </w:r>
      <w:r w:rsidRPr="0086753D">
        <w:rPr>
          <w:rFonts w:ascii="Arial" w:hAnsi="Arial" w:cs="Arial"/>
          <w:sz w:val="20"/>
        </w:rPr>
        <w:t> 225-61 du Code de commerce ne sera aménagé à cette fin</w:t>
      </w:r>
      <w:r>
        <w:rPr>
          <w:rFonts w:ascii="Arial" w:hAnsi="Arial" w:cs="Arial"/>
          <w:sz w:val="20"/>
        </w:rPr>
        <w:t>, sauf en ce qui concerne les actionnaires belges qui pourront participer par visioconférence à l’ancienne adresse du siège social belge de la société à savoir : 363, avenue Louise, 1050 Bruxelles (Belgique).</w:t>
      </w:r>
    </w:p>
    <w:p w14:paraId="271153F3" w14:textId="77777777" w:rsidR="00D0250C" w:rsidRPr="003D1FC2" w:rsidRDefault="00D0250C" w:rsidP="00D0250C">
      <w:pPr>
        <w:pStyle w:val="Item1"/>
        <w:keepNext w:val="0"/>
        <w:keepLines w:val="0"/>
        <w:tabs>
          <w:tab w:val="clear" w:pos="360"/>
          <w:tab w:val="left" w:pos="2880"/>
        </w:tabs>
        <w:spacing w:before="0"/>
        <w:rPr>
          <w:rFonts w:ascii="Arial" w:hAnsi="Arial" w:cs="Arial"/>
          <w:sz w:val="20"/>
        </w:rPr>
      </w:pPr>
    </w:p>
    <w:p w14:paraId="5ECE529D" w14:textId="3C9F3E49" w:rsidR="00D3374A" w:rsidRPr="00F32D38" w:rsidRDefault="00D0250C" w:rsidP="00F32D38">
      <w:pPr>
        <w:pStyle w:val="Item1"/>
        <w:keepNext w:val="0"/>
        <w:keepLines w:val="0"/>
        <w:tabs>
          <w:tab w:val="clear" w:pos="360"/>
          <w:tab w:val="left" w:pos="2880"/>
        </w:tabs>
        <w:spacing w:before="0"/>
        <w:rPr>
          <w:rFonts w:ascii="Arial" w:hAnsi="Arial" w:cs="Arial"/>
          <w:sz w:val="20"/>
        </w:rPr>
      </w:pPr>
      <w:r w:rsidRPr="003D1FC2">
        <w:rPr>
          <w:rFonts w:ascii="Arial" w:hAnsi="Arial" w:cs="Arial"/>
          <w:sz w:val="20"/>
        </w:rPr>
        <w:t>Conformément aux dispositions légales et réglementaires applicables, tous les documents qui doivent être tenus à la disposition des actionnaires dans le cadre des assemblées générales seront disponibles, au siège social de la Société, dans les délais légaux, et, pour les docum</w:t>
      </w:r>
      <w:r w:rsidR="007928E7">
        <w:rPr>
          <w:rFonts w:ascii="Arial" w:hAnsi="Arial" w:cs="Arial"/>
          <w:sz w:val="20"/>
        </w:rPr>
        <w:t xml:space="preserve">ents </w:t>
      </w:r>
      <w:r w:rsidRPr="003D1FC2">
        <w:rPr>
          <w:rFonts w:ascii="Arial" w:hAnsi="Arial" w:cs="Arial"/>
          <w:sz w:val="20"/>
        </w:rPr>
        <w:t>visés à l’article R 22</w:t>
      </w:r>
      <w:r w:rsidR="002C609D">
        <w:rPr>
          <w:rFonts w:ascii="Arial" w:hAnsi="Arial" w:cs="Arial"/>
          <w:sz w:val="20"/>
        </w:rPr>
        <w:t>-10-23</w:t>
      </w:r>
      <w:r w:rsidRPr="003D1FC2">
        <w:rPr>
          <w:rFonts w:ascii="Arial" w:hAnsi="Arial" w:cs="Arial"/>
          <w:sz w:val="20"/>
        </w:rPr>
        <w:t xml:space="preserve"> du Code de commerce, sur le site Internet de la Société à l’adresse suivante : </w:t>
      </w:r>
      <w:hyperlink r:id="rId10" w:history="1">
        <w:r w:rsidRPr="003D1FC2">
          <w:rPr>
            <w:rStyle w:val="Lienhypertexte"/>
            <w:rFonts w:ascii="Arial" w:hAnsi="Arial" w:cs="Arial"/>
            <w:sz w:val="20"/>
          </w:rPr>
          <w:t>www.kko-international.com</w:t>
        </w:r>
      </w:hyperlink>
      <w:r w:rsidRPr="003D1FC2">
        <w:rPr>
          <w:rFonts w:ascii="Arial" w:hAnsi="Arial" w:cs="Arial"/>
          <w:sz w:val="20"/>
        </w:rPr>
        <w:t xml:space="preserve"> à compter du vingt-et-unième jour précédant l’assemblée.</w:t>
      </w:r>
    </w:p>
    <w:sectPr w:rsidR="00D3374A" w:rsidRPr="00F32D38" w:rsidSect="00B37094">
      <w:headerReference w:type="even" r:id="rId11"/>
      <w:headerReference w:type="default" r:id="rId12"/>
      <w:footerReference w:type="default" r:id="rId13"/>
      <w:headerReference w:type="first" r:id="rId14"/>
      <w:footerReference w:type="first" r:id="rId15"/>
      <w:pgSz w:w="11906" w:h="16838" w:code="9"/>
      <w:pgMar w:top="1247" w:right="1247" w:bottom="993" w:left="1247" w:header="720" w:footer="283"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2898" w14:textId="77777777" w:rsidR="00844185" w:rsidRDefault="00844185" w:rsidP="00D846F4">
      <w:r>
        <w:separator/>
      </w:r>
    </w:p>
  </w:endnote>
  <w:endnote w:type="continuationSeparator" w:id="0">
    <w:p w14:paraId="355E471F" w14:textId="77777777" w:rsidR="00844185" w:rsidRDefault="00844185" w:rsidP="00D8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E36C" w14:textId="3C2CF3D1" w:rsidR="00DA3658" w:rsidRPr="00293813" w:rsidRDefault="00DA3658">
    <w:pPr>
      <w:pStyle w:val="Pieddepage"/>
      <w:jc w:val="right"/>
      <w:rPr>
        <w:rFonts w:ascii="Arial" w:hAnsi="Arial" w:cs="Arial"/>
        <w:sz w:val="20"/>
      </w:rPr>
    </w:pPr>
    <w:r w:rsidRPr="00293813">
      <w:rPr>
        <w:rFonts w:ascii="Arial" w:hAnsi="Arial" w:cs="Arial"/>
        <w:sz w:val="20"/>
      </w:rPr>
      <w:fldChar w:fldCharType="begin"/>
    </w:r>
    <w:r w:rsidRPr="00293813">
      <w:rPr>
        <w:rFonts w:ascii="Arial" w:hAnsi="Arial" w:cs="Arial"/>
        <w:sz w:val="20"/>
      </w:rPr>
      <w:instrText>PAGE   \* MERGEFORMAT</w:instrText>
    </w:r>
    <w:r w:rsidRPr="00293813">
      <w:rPr>
        <w:rFonts w:ascii="Arial" w:hAnsi="Arial" w:cs="Arial"/>
        <w:sz w:val="20"/>
      </w:rPr>
      <w:fldChar w:fldCharType="separate"/>
    </w:r>
    <w:r w:rsidR="002C609D">
      <w:rPr>
        <w:rFonts w:ascii="Arial" w:hAnsi="Arial" w:cs="Arial"/>
        <w:noProof/>
        <w:sz w:val="20"/>
      </w:rPr>
      <w:t>4</w:t>
    </w:r>
    <w:r w:rsidRPr="00293813">
      <w:rPr>
        <w:rFonts w:ascii="Arial" w:hAnsi="Arial" w:cs="Arial"/>
        <w:sz w:val="20"/>
      </w:rPr>
      <w:fldChar w:fldCharType="end"/>
    </w:r>
  </w:p>
  <w:p w14:paraId="221A6A92" w14:textId="77777777" w:rsidR="00DA3658" w:rsidRDefault="00DA3658">
    <w:pPr>
      <w:pStyle w:val="Pieddepage"/>
      <w:rPr>
        <w:rFonts w:ascii="Arial" w:hAnsi="Arial" w:cs="Arial"/>
        <w:sz w:val="16"/>
        <w:szCs w:val="16"/>
      </w:rPr>
    </w:pPr>
  </w:p>
  <w:p w14:paraId="6A772FB0" w14:textId="77777777" w:rsidR="00DA3658" w:rsidRDefault="00DA3658" w:rsidP="003210C5">
    <w:pPr>
      <w:pStyle w:val="Pieddepage"/>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D789" w14:textId="77777777" w:rsidR="00DA3658" w:rsidRPr="004216D3" w:rsidRDefault="00DA3658" w:rsidP="003210C5">
    <w:pPr>
      <w:pStyle w:val="Pieddepage"/>
      <w:jc w:val="left"/>
      <w:rPr>
        <w:rFonts w:ascii="Arial" w:hAnsi="Arial"/>
        <w:sz w:val="16"/>
        <w:szCs w:val="16"/>
      </w:rPr>
    </w:pPr>
  </w:p>
  <w:p w14:paraId="33226921" w14:textId="77777777" w:rsidR="00DA3658" w:rsidRDefault="00DA3658" w:rsidP="003210C5">
    <w:pPr>
      <w:pStyle w:val="Pieddepage"/>
      <w:jc w:val="lef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4B6BB" w14:textId="77777777" w:rsidR="00844185" w:rsidRDefault="00844185" w:rsidP="00D846F4">
      <w:r>
        <w:separator/>
      </w:r>
    </w:p>
  </w:footnote>
  <w:footnote w:type="continuationSeparator" w:id="0">
    <w:p w14:paraId="2BE47737" w14:textId="77777777" w:rsidR="00844185" w:rsidRDefault="00844185" w:rsidP="00D84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22BC" w14:textId="77777777" w:rsidR="00DA3658" w:rsidRDefault="00DA3658" w:rsidP="003210C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67A6D07" w14:textId="77777777" w:rsidR="00DA3658" w:rsidRDefault="00DA3658" w:rsidP="003210C5">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048C" w14:textId="77777777" w:rsidR="00DA3658" w:rsidRPr="00022B3B" w:rsidRDefault="00DA3658" w:rsidP="003210C5">
    <w:pPr>
      <w:pStyle w:val="En-tte"/>
      <w:rPr>
        <w:i/>
        <w:sz w:val="16"/>
        <w:szCs w:val="16"/>
      </w:rPr>
    </w:pPr>
    <w:r>
      <w:rPr>
        <w:i/>
        <w:sz w:val="16"/>
        <w:szCs w:val="16"/>
      </w:rPr>
      <w:tab/>
    </w:r>
    <w:r>
      <w:rPr>
        <w:i/>
        <w:sz w:val="16"/>
        <w:szCs w:val="16"/>
      </w:rPr>
      <w:tab/>
    </w:r>
  </w:p>
  <w:p w14:paraId="79CB573B" w14:textId="77777777" w:rsidR="00DA3658" w:rsidRDefault="00DA3658" w:rsidP="003210C5">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1063" w14:textId="77777777" w:rsidR="00DA3658" w:rsidRPr="00526F22" w:rsidRDefault="00DA3658" w:rsidP="00EE6E9C">
    <w:pPr>
      <w:pStyle w:val="En-tte"/>
      <w:rPr>
        <w:b/>
        <w:i/>
        <w:sz w:val="16"/>
        <w:szCs w:val="16"/>
      </w:rPr>
    </w:pPr>
    <w:r w:rsidRPr="00526F22">
      <w:rPr>
        <w:b/>
        <w: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BE9"/>
    <w:multiLevelType w:val="hybridMultilevel"/>
    <w:tmpl w:val="BE10E2EC"/>
    <w:lvl w:ilvl="0" w:tplc="FFFFFFFF">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62687"/>
    <w:multiLevelType w:val="hybridMultilevel"/>
    <w:tmpl w:val="80A4A1D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rPr>
        <w:rFonts w:hint="default"/>
      </w:rPr>
    </w:lvl>
    <w:lvl w:ilvl="3" w:tplc="F65003C4">
      <w:start w:val="1"/>
      <w:numFmt w:val="lowerRoman"/>
      <w:lvlText w:val="(%4)"/>
      <w:lvlJc w:val="left"/>
      <w:pPr>
        <w:ind w:left="3240" w:hanging="720"/>
      </w:pPr>
      <w:rPr>
        <w:rFont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F737C"/>
    <w:multiLevelType w:val="hybridMultilevel"/>
    <w:tmpl w:val="3CFE352A"/>
    <w:lvl w:ilvl="0" w:tplc="040C0003">
      <w:start w:val="1"/>
      <w:numFmt w:val="bullet"/>
      <w:lvlText w:val="o"/>
      <w:lvlJc w:val="left"/>
      <w:pPr>
        <w:ind w:left="1220" w:hanging="360"/>
      </w:pPr>
      <w:rPr>
        <w:rFonts w:ascii="Courier New" w:hAnsi="Courier New" w:cs="Courier New" w:hint="default"/>
      </w:rPr>
    </w:lvl>
    <w:lvl w:ilvl="1" w:tplc="040C0003" w:tentative="1">
      <w:start w:val="1"/>
      <w:numFmt w:val="bullet"/>
      <w:lvlText w:val="o"/>
      <w:lvlJc w:val="left"/>
      <w:pPr>
        <w:ind w:left="1940" w:hanging="360"/>
      </w:pPr>
      <w:rPr>
        <w:rFonts w:ascii="Courier New" w:hAnsi="Courier New" w:cs="Courier New" w:hint="default"/>
      </w:rPr>
    </w:lvl>
    <w:lvl w:ilvl="2" w:tplc="040C0005" w:tentative="1">
      <w:start w:val="1"/>
      <w:numFmt w:val="bullet"/>
      <w:lvlText w:val=""/>
      <w:lvlJc w:val="left"/>
      <w:pPr>
        <w:ind w:left="2660" w:hanging="360"/>
      </w:pPr>
      <w:rPr>
        <w:rFonts w:ascii="Wingdings" w:hAnsi="Wingdings" w:hint="default"/>
      </w:rPr>
    </w:lvl>
    <w:lvl w:ilvl="3" w:tplc="040C0001" w:tentative="1">
      <w:start w:val="1"/>
      <w:numFmt w:val="bullet"/>
      <w:lvlText w:val=""/>
      <w:lvlJc w:val="left"/>
      <w:pPr>
        <w:ind w:left="3380" w:hanging="360"/>
      </w:pPr>
      <w:rPr>
        <w:rFonts w:ascii="Symbol" w:hAnsi="Symbol" w:hint="default"/>
      </w:rPr>
    </w:lvl>
    <w:lvl w:ilvl="4" w:tplc="040C0003" w:tentative="1">
      <w:start w:val="1"/>
      <w:numFmt w:val="bullet"/>
      <w:lvlText w:val="o"/>
      <w:lvlJc w:val="left"/>
      <w:pPr>
        <w:ind w:left="4100" w:hanging="360"/>
      </w:pPr>
      <w:rPr>
        <w:rFonts w:ascii="Courier New" w:hAnsi="Courier New" w:cs="Courier New" w:hint="default"/>
      </w:rPr>
    </w:lvl>
    <w:lvl w:ilvl="5" w:tplc="040C0005" w:tentative="1">
      <w:start w:val="1"/>
      <w:numFmt w:val="bullet"/>
      <w:lvlText w:val=""/>
      <w:lvlJc w:val="left"/>
      <w:pPr>
        <w:ind w:left="4820" w:hanging="360"/>
      </w:pPr>
      <w:rPr>
        <w:rFonts w:ascii="Wingdings" w:hAnsi="Wingdings" w:hint="default"/>
      </w:rPr>
    </w:lvl>
    <w:lvl w:ilvl="6" w:tplc="040C0001" w:tentative="1">
      <w:start w:val="1"/>
      <w:numFmt w:val="bullet"/>
      <w:lvlText w:val=""/>
      <w:lvlJc w:val="left"/>
      <w:pPr>
        <w:ind w:left="5540" w:hanging="360"/>
      </w:pPr>
      <w:rPr>
        <w:rFonts w:ascii="Symbol" w:hAnsi="Symbol" w:hint="default"/>
      </w:rPr>
    </w:lvl>
    <w:lvl w:ilvl="7" w:tplc="040C0003" w:tentative="1">
      <w:start w:val="1"/>
      <w:numFmt w:val="bullet"/>
      <w:lvlText w:val="o"/>
      <w:lvlJc w:val="left"/>
      <w:pPr>
        <w:ind w:left="6260" w:hanging="360"/>
      </w:pPr>
      <w:rPr>
        <w:rFonts w:ascii="Courier New" w:hAnsi="Courier New" w:cs="Courier New" w:hint="default"/>
      </w:rPr>
    </w:lvl>
    <w:lvl w:ilvl="8" w:tplc="040C0005" w:tentative="1">
      <w:start w:val="1"/>
      <w:numFmt w:val="bullet"/>
      <w:lvlText w:val=""/>
      <w:lvlJc w:val="left"/>
      <w:pPr>
        <w:ind w:left="6980" w:hanging="360"/>
      </w:pPr>
      <w:rPr>
        <w:rFonts w:ascii="Wingdings" w:hAnsi="Wingdings" w:hint="default"/>
      </w:rPr>
    </w:lvl>
  </w:abstractNum>
  <w:abstractNum w:abstractNumId="3" w15:restartNumberingAfterBreak="0">
    <w:nsid w:val="0D0109AF"/>
    <w:multiLevelType w:val="hybridMultilevel"/>
    <w:tmpl w:val="5C48AF1A"/>
    <w:lvl w:ilvl="0" w:tplc="F8822136">
      <w:start w:val="5"/>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EDD5E98"/>
    <w:multiLevelType w:val="hybridMultilevel"/>
    <w:tmpl w:val="981003A2"/>
    <w:lvl w:ilvl="0" w:tplc="0F6E59D4">
      <w:start w:val="1"/>
      <w:numFmt w:val="lowerRoman"/>
      <w:lvlText w:val="(%1)"/>
      <w:lvlJc w:val="left"/>
      <w:pPr>
        <w:tabs>
          <w:tab w:val="num" w:pos="1270"/>
        </w:tabs>
        <w:ind w:left="1270" w:hanging="720"/>
      </w:pPr>
      <w:rPr>
        <w:rFonts w:hint="default"/>
      </w:rPr>
    </w:lvl>
    <w:lvl w:ilvl="1" w:tplc="040C0019" w:tentative="1">
      <w:start w:val="1"/>
      <w:numFmt w:val="lowerLetter"/>
      <w:lvlText w:val="%2."/>
      <w:lvlJc w:val="left"/>
      <w:pPr>
        <w:tabs>
          <w:tab w:val="num" w:pos="1630"/>
        </w:tabs>
        <w:ind w:left="1630" w:hanging="360"/>
      </w:pPr>
    </w:lvl>
    <w:lvl w:ilvl="2" w:tplc="040C001B" w:tentative="1">
      <w:start w:val="1"/>
      <w:numFmt w:val="lowerRoman"/>
      <w:lvlText w:val="%3."/>
      <w:lvlJc w:val="right"/>
      <w:pPr>
        <w:tabs>
          <w:tab w:val="num" w:pos="2350"/>
        </w:tabs>
        <w:ind w:left="2350" w:hanging="180"/>
      </w:pPr>
    </w:lvl>
    <w:lvl w:ilvl="3" w:tplc="040C000F" w:tentative="1">
      <w:start w:val="1"/>
      <w:numFmt w:val="decimal"/>
      <w:lvlText w:val="%4."/>
      <w:lvlJc w:val="left"/>
      <w:pPr>
        <w:tabs>
          <w:tab w:val="num" w:pos="3070"/>
        </w:tabs>
        <w:ind w:left="3070" w:hanging="360"/>
      </w:pPr>
    </w:lvl>
    <w:lvl w:ilvl="4" w:tplc="040C0019" w:tentative="1">
      <w:start w:val="1"/>
      <w:numFmt w:val="lowerLetter"/>
      <w:lvlText w:val="%5."/>
      <w:lvlJc w:val="left"/>
      <w:pPr>
        <w:tabs>
          <w:tab w:val="num" w:pos="3790"/>
        </w:tabs>
        <w:ind w:left="3790" w:hanging="360"/>
      </w:pPr>
    </w:lvl>
    <w:lvl w:ilvl="5" w:tplc="040C001B" w:tentative="1">
      <w:start w:val="1"/>
      <w:numFmt w:val="lowerRoman"/>
      <w:lvlText w:val="%6."/>
      <w:lvlJc w:val="right"/>
      <w:pPr>
        <w:tabs>
          <w:tab w:val="num" w:pos="4510"/>
        </w:tabs>
        <w:ind w:left="4510" w:hanging="180"/>
      </w:pPr>
    </w:lvl>
    <w:lvl w:ilvl="6" w:tplc="040C000F" w:tentative="1">
      <w:start w:val="1"/>
      <w:numFmt w:val="decimal"/>
      <w:lvlText w:val="%7."/>
      <w:lvlJc w:val="left"/>
      <w:pPr>
        <w:tabs>
          <w:tab w:val="num" w:pos="5230"/>
        </w:tabs>
        <w:ind w:left="5230" w:hanging="360"/>
      </w:pPr>
    </w:lvl>
    <w:lvl w:ilvl="7" w:tplc="040C0019" w:tentative="1">
      <w:start w:val="1"/>
      <w:numFmt w:val="lowerLetter"/>
      <w:lvlText w:val="%8."/>
      <w:lvlJc w:val="left"/>
      <w:pPr>
        <w:tabs>
          <w:tab w:val="num" w:pos="5950"/>
        </w:tabs>
        <w:ind w:left="5950" w:hanging="360"/>
      </w:pPr>
    </w:lvl>
    <w:lvl w:ilvl="8" w:tplc="040C001B" w:tentative="1">
      <w:start w:val="1"/>
      <w:numFmt w:val="lowerRoman"/>
      <w:lvlText w:val="%9."/>
      <w:lvlJc w:val="right"/>
      <w:pPr>
        <w:tabs>
          <w:tab w:val="num" w:pos="6670"/>
        </w:tabs>
        <w:ind w:left="6670" w:hanging="180"/>
      </w:pPr>
    </w:lvl>
  </w:abstractNum>
  <w:abstractNum w:abstractNumId="5" w15:restartNumberingAfterBreak="0">
    <w:nsid w:val="12092456"/>
    <w:multiLevelType w:val="hybridMultilevel"/>
    <w:tmpl w:val="6EA64D20"/>
    <w:lvl w:ilvl="0" w:tplc="5DAE414C">
      <w:start w:val="1"/>
      <w:numFmt w:val="lowerRoman"/>
      <w:lvlText w:val="(%1)"/>
      <w:lvlJc w:val="left"/>
      <w:pPr>
        <w:ind w:left="1380" w:hanging="720"/>
      </w:pPr>
      <w:rPr>
        <w:rFonts w:hint="default"/>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6" w15:restartNumberingAfterBreak="0">
    <w:nsid w:val="15EE0816"/>
    <w:multiLevelType w:val="hybridMultilevel"/>
    <w:tmpl w:val="B2029B24"/>
    <w:lvl w:ilvl="0" w:tplc="E140E33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371A9E"/>
    <w:multiLevelType w:val="hybridMultilevel"/>
    <w:tmpl w:val="9AAC3ECC"/>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E5D4D"/>
    <w:multiLevelType w:val="hybridMultilevel"/>
    <w:tmpl w:val="981003A2"/>
    <w:lvl w:ilvl="0" w:tplc="0F6E59D4">
      <w:start w:val="1"/>
      <w:numFmt w:val="lowerRoman"/>
      <w:lvlText w:val="(%1)"/>
      <w:lvlJc w:val="left"/>
      <w:pPr>
        <w:tabs>
          <w:tab w:val="num" w:pos="1270"/>
        </w:tabs>
        <w:ind w:left="1270" w:hanging="720"/>
      </w:pPr>
      <w:rPr>
        <w:rFonts w:hint="default"/>
      </w:rPr>
    </w:lvl>
    <w:lvl w:ilvl="1" w:tplc="040C0019" w:tentative="1">
      <w:start w:val="1"/>
      <w:numFmt w:val="lowerLetter"/>
      <w:lvlText w:val="%2."/>
      <w:lvlJc w:val="left"/>
      <w:pPr>
        <w:tabs>
          <w:tab w:val="num" w:pos="1630"/>
        </w:tabs>
        <w:ind w:left="1630" w:hanging="360"/>
      </w:pPr>
    </w:lvl>
    <w:lvl w:ilvl="2" w:tplc="040C001B" w:tentative="1">
      <w:start w:val="1"/>
      <w:numFmt w:val="lowerRoman"/>
      <w:lvlText w:val="%3."/>
      <w:lvlJc w:val="right"/>
      <w:pPr>
        <w:tabs>
          <w:tab w:val="num" w:pos="2350"/>
        </w:tabs>
        <w:ind w:left="2350" w:hanging="180"/>
      </w:pPr>
    </w:lvl>
    <w:lvl w:ilvl="3" w:tplc="040C000F" w:tentative="1">
      <w:start w:val="1"/>
      <w:numFmt w:val="decimal"/>
      <w:lvlText w:val="%4."/>
      <w:lvlJc w:val="left"/>
      <w:pPr>
        <w:tabs>
          <w:tab w:val="num" w:pos="3070"/>
        </w:tabs>
        <w:ind w:left="3070" w:hanging="360"/>
      </w:pPr>
    </w:lvl>
    <w:lvl w:ilvl="4" w:tplc="040C0019" w:tentative="1">
      <w:start w:val="1"/>
      <w:numFmt w:val="lowerLetter"/>
      <w:lvlText w:val="%5."/>
      <w:lvlJc w:val="left"/>
      <w:pPr>
        <w:tabs>
          <w:tab w:val="num" w:pos="3790"/>
        </w:tabs>
        <w:ind w:left="3790" w:hanging="360"/>
      </w:pPr>
    </w:lvl>
    <w:lvl w:ilvl="5" w:tplc="040C001B" w:tentative="1">
      <w:start w:val="1"/>
      <w:numFmt w:val="lowerRoman"/>
      <w:lvlText w:val="%6."/>
      <w:lvlJc w:val="right"/>
      <w:pPr>
        <w:tabs>
          <w:tab w:val="num" w:pos="4510"/>
        </w:tabs>
        <w:ind w:left="4510" w:hanging="180"/>
      </w:pPr>
    </w:lvl>
    <w:lvl w:ilvl="6" w:tplc="040C000F" w:tentative="1">
      <w:start w:val="1"/>
      <w:numFmt w:val="decimal"/>
      <w:lvlText w:val="%7."/>
      <w:lvlJc w:val="left"/>
      <w:pPr>
        <w:tabs>
          <w:tab w:val="num" w:pos="5230"/>
        </w:tabs>
        <w:ind w:left="5230" w:hanging="360"/>
      </w:pPr>
    </w:lvl>
    <w:lvl w:ilvl="7" w:tplc="040C0019" w:tentative="1">
      <w:start w:val="1"/>
      <w:numFmt w:val="lowerLetter"/>
      <w:lvlText w:val="%8."/>
      <w:lvlJc w:val="left"/>
      <w:pPr>
        <w:tabs>
          <w:tab w:val="num" w:pos="5950"/>
        </w:tabs>
        <w:ind w:left="5950" w:hanging="360"/>
      </w:pPr>
    </w:lvl>
    <w:lvl w:ilvl="8" w:tplc="040C001B" w:tentative="1">
      <w:start w:val="1"/>
      <w:numFmt w:val="lowerRoman"/>
      <w:lvlText w:val="%9."/>
      <w:lvlJc w:val="right"/>
      <w:pPr>
        <w:tabs>
          <w:tab w:val="num" w:pos="6670"/>
        </w:tabs>
        <w:ind w:left="6670" w:hanging="180"/>
      </w:pPr>
    </w:lvl>
  </w:abstractNum>
  <w:abstractNum w:abstractNumId="9" w15:restartNumberingAfterBreak="0">
    <w:nsid w:val="359D1498"/>
    <w:multiLevelType w:val="hybridMultilevel"/>
    <w:tmpl w:val="2F30C7D0"/>
    <w:lvl w:ilvl="0" w:tplc="5DF62346">
      <w:start w:val="1"/>
      <w:numFmt w:val="decimal"/>
      <w:lvlText w:val="%1."/>
      <w:lvlJc w:val="left"/>
      <w:pPr>
        <w:ind w:left="1065" w:hanging="705"/>
      </w:pPr>
      <w:rPr>
        <w:rFonts w:hint="default"/>
      </w:rPr>
    </w:lvl>
    <w:lvl w:ilvl="1" w:tplc="32CABAA6">
      <w:start w:val="3"/>
      <w:numFmt w:val="bullet"/>
      <w:lvlText w:val="-"/>
      <w:lvlJc w:val="left"/>
      <w:pPr>
        <w:ind w:left="1500" w:hanging="42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EB1870"/>
    <w:multiLevelType w:val="hybridMultilevel"/>
    <w:tmpl w:val="5B30998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A73442"/>
    <w:multiLevelType w:val="hybridMultilevel"/>
    <w:tmpl w:val="9B8A63B2"/>
    <w:lvl w:ilvl="0" w:tplc="2C6A6D30">
      <w:start w:val="1"/>
      <w:numFmt w:val="decimal"/>
      <w:lvlText w:val="%1."/>
      <w:lvlJc w:val="left"/>
      <w:pPr>
        <w:ind w:left="720" w:hanging="360"/>
      </w:pPr>
      <w:rPr>
        <w:rFonts w:ascii="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7A1F04"/>
    <w:multiLevelType w:val="hybridMultilevel"/>
    <w:tmpl w:val="4D7C12E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E50A13"/>
    <w:multiLevelType w:val="hybridMultilevel"/>
    <w:tmpl w:val="4E3A9636"/>
    <w:lvl w:ilvl="0" w:tplc="FFFFFFFF">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6D101D"/>
    <w:multiLevelType w:val="hybridMultilevel"/>
    <w:tmpl w:val="9A38D1EA"/>
    <w:lvl w:ilvl="0" w:tplc="040C0003">
      <w:start w:val="1"/>
      <w:numFmt w:val="bullet"/>
      <w:lvlText w:val="o"/>
      <w:lvlJc w:val="left"/>
      <w:pPr>
        <w:tabs>
          <w:tab w:val="num" w:pos="1320"/>
        </w:tabs>
        <w:ind w:left="1320" w:hanging="360"/>
      </w:pPr>
      <w:rPr>
        <w:rFonts w:ascii="Courier New" w:hAnsi="Courier New" w:cs="Courier New" w:hint="default"/>
      </w:rPr>
    </w:lvl>
    <w:lvl w:ilvl="1" w:tplc="040C0003" w:tentative="1">
      <w:start w:val="1"/>
      <w:numFmt w:val="bullet"/>
      <w:lvlText w:val="o"/>
      <w:lvlJc w:val="left"/>
      <w:pPr>
        <w:tabs>
          <w:tab w:val="num" w:pos="2040"/>
        </w:tabs>
        <w:ind w:left="2040" w:hanging="360"/>
      </w:pPr>
      <w:rPr>
        <w:rFonts w:ascii="Courier New" w:hAnsi="Courier New" w:cs="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cs="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cs="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15" w15:restartNumberingAfterBreak="0">
    <w:nsid w:val="4D4053C7"/>
    <w:multiLevelType w:val="hybridMultilevel"/>
    <w:tmpl w:val="D828F2CA"/>
    <w:lvl w:ilvl="0" w:tplc="FFFFFFFF">
      <w:start w:val="1"/>
      <w:numFmt w:val="decimal"/>
      <w:lvlText w:val="%1."/>
      <w:lvlJc w:val="left"/>
      <w:pPr>
        <w:tabs>
          <w:tab w:val="num" w:pos="360"/>
        </w:tabs>
        <w:ind w:left="360" w:hanging="360"/>
      </w:pPr>
      <w:rPr>
        <w:rFonts w:ascii="Arial" w:hAnsi="Arial" w:cs="Arial" w:hint="default"/>
        <w:b w:val="0"/>
      </w:rPr>
    </w:lvl>
    <w:lvl w:ilvl="1" w:tplc="FFFFFFFF">
      <w:start w:val="1"/>
      <w:numFmt w:val="bullet"/>
      <w:lvlText w:val="-"/>
      <w:lvlJc w:val="left"/>
      <w:pPr>
        <w:tabs>
          <w:tab w:val="num" w:pos="1080"/>
        </w:tabs>
        <w:ind w:left="1080" w:hanging="360"/>
      </w:pPr>
      <w:rPr>
        <w:rFonts w:ascii="Times New Roman" w:hAnsi="Times New Roman" w:hint="default"/>
      </w:rPr>
    </w:lvl>
    <w:lvl w:ilvl="2" w:tplc="FFFFFFFF">
      <w:start w:val="1"/>
      <w:numFmt w:val="decimal"/>
      <w:lvlText w:val="%3."/>
      <w:lvlJc w:val="left"/>
      <w:pPr>
        <w:tabs>
          <w:tab w:val="num" w:pos="1980"/>
        </w:tabs>
        <w:ind w:left="1980" w:hanging="360"/>
      </w:pPr>
      <w:rPr>
        <w:rFonts w:ascii="Arial" w:hAnsi="Arial" w:cs="Arial"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58C66DB1"/>
    <w:multiLevelType w:val="hybridMultilevel"/>
    <w:tmpl w:val="E31076E4"/>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B17EA2"/>
    <w:multiLevelType w:val="multilevel"/>
    <w:tmpl w:val="89BC8756"/>
    <w:lvl w:ilvl="0">
      <w:start w:val="2"/>
      <w:numFmt w:val="ordinalText"/>
      <w:pStyle w:val="StyleStyleStyleTitre1LatinBookAntiqua11ptCentrG"/>
      <w:suff w:val="space"/>
      <w:lvlText w:val="%1"/>
      <w:lvlJc w:val="left"/>
      <w:pPr>
        <w:ind w:left="4250" w:hanging="705"/>
      </w:pPr>
      <w:rPr>
        <w:rFonts w:hint="default"/>
        <w:caps/>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5F93D18"/>
    <w:multiLevelType w:val="hybridMultilevel"/>
    <w:tmpl w:val="C4B4D6C6"/>
    <w:lvl w:ilvl="0" w:tplc="E38E7D1E">
      <w:start w:val="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0645CF"/>
    <w:multiLevelType w:val="hybridMultilevel"/>
    <w:tmpl w:val="9CACE4FE"/>
    <w:lvl w:ilvl="0" w:tplc="0182316A">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281438"/>
    <w:multiLevelType w:val="hybridMultilevel"/>
    <w:tmpl w:val="9740F826"/>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4773C1"/>
    <w:multiLevelType w:val="hybridMultilevel"/>
    <w:tmpl w:val="9FF40392"/>
    <w:lvl w:ilvl="0" w:tplc="5A1ECE86">
      <w:start w:val="250"/>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DD449B"/>
    <w:multiLevelType w:val="hybridMultilevel"/>
    <w:tmpl w:val="48821B7A"/>
    <w:lvl w:ilvl="0" w:tplc="9BF6B5C6">
      <w:numFmt w:val="bullet"/>
      <w:lvlText w:val="-"/>
      <w:lvlJc w:val="left"/>
      <w:pPr>
        <w:tabs>
          <w:tab w:val="num" w:pos="502"/>
        </w:tabs>
        <w:ind w:left="502" w:hanging="360"/>
      </w:pPr>
      <w:rPr>
        <w:rFonts w:ascii="Arial" w:eastAsia="Times New Roman" w:hAnsi="Arial" w:hint="default"/>
      </w:rPr>
    </w:lvl>
    <w:lvl w:ilvl="1" w:tplc="040C0003">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23" w15:restartNumberingAfterBreak="0">
    <w:nsid w:val="7E44587E"/>
    <w:multiLevelType w:val="hybridMultilevel"/>
    <w:tmpl w:val="D6AAB518"/>
    <w:lvl w:ilvl="0" w:tplc="ABA2D762">
      <w:start w:val="15"/>
      <w:numFmt w:val="bullet"/>
      <w:lvlText w:val="-"/>
      <w:lvlJc w:val="left"/>
      <w:pPr>
        <w:tabs>
          <w:tab w:val="num" w:pos="1080"/>
        </w:tabs>
        <w:ind w:left="108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337315450">
    <w:abstractNumId w:val="21"/>
  </w:num>
  <w:num w:numId="2" w16cid:durableId="2018923683">
    <w:abstractNumId w:val="22"/>
  </w:num>
  <w:num w:numId="3" w16cid:durableId="673609984">
    <w:abstractNumId w:val="16"/>
  </w:num>
  <w:num w:numId="4" w16cid:durableId="341081511">
    <w:abstractNumId w:val="7"/>
  </w:num>
  <w:num w:numId="5" w16cid:durableId="731461947">
    <w:abstractNumId w:val="12"/>
  </w:num>
  <w:num w:numId="6" w16cid:durableId="941958596">
    <w:abstractNumId w:val="14"/>
  </w:num>
  <w:num w:numId="7" w16cid:durableId="813180391">
    <w:abstractNumId w:val="20"/>
  </w:num>
  <w:num w:numId="8" w16cid:durableId="2108041331">
    <w:abstractNumId w:val="17"/>
  </w:num>
  <w:num w:numId="9" w16cid:durableId="421805892">
    <w:abstractNumId w:val="4"/>
  </w:num>
  <w:num w:numId="10" w16cid:durableId="877595161">
    <w:abstractNumId w:val="18"/>
  </w:num>
  <w:num w:numId="11" w16cid:durableId="287585838">
    <w:abstractNumId w:val="5"/>
  </w:num>
  <w:num w:numId="12" w16cid:durableId="1193808937">
    <w:abstractNumId w:val="8"/>
  </w:num>
  <w:num w:numId="13" w16cid:durableId="213320017">
    <w:abstractNumId w:val="11"/>
  </w:num>
  <w:num w:numId="14" w16cid:durableId="801995182">
    <w:abstractNumId w:val="2"/>
  </w:num>
  <w:num w:numId="15" w16cid:durableId="1722899145">
    <w:abstractNumId w:val="6"/>
  </w:num>
  <w:num w:numId="16" w16cid:durableId="1478492715">
    <w:abstractNumId w:val="0"/>
  </w:num>
  <w:num w:numId="17" w16cid:durableId="1387798995">
    <w:abstractNumId w:val="15"/>
  </w:num>
  <w:num w:numId="18" w16cid:durableId="1563371188">
    <w:abstractNumId w:val="19"/>
  </w:num>
  <w:num w:numId="19" w16cid:durableId="394745271">
    <w:abstractNumId w:val="9"/>
  </w:num>
  <w:num w:numId="20" w16cid:durableId="1967612772">
    <w:abstractNumId w:val="23"/>
  </w:num>
  <w:num w:numId="21" w16cid:durableId="1396735">
    <w:abstractNumId w:val="1"/>
  </w:num>
  <w:num w:numId="22" w16cid:durableId="1054351636">
    <w:abstractNumId w:val="3"/>
  </w:num>
  <w:num w:numId="23" w16cid:durableId="410346556">
    <w:abstractNumId w:val="13"/>
  </w:num>
  <w:num w:numId="24" w16cid:durableId="17293035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F4"/>
    <w:rsid w:val="00002024"/>
    <w:rsid w:val="00006D5C"/>
    <w:rsid w:val="00014E6E"/>
    <w:rsid w:val="00024F8F"/>
    <w:rsid w:val="000348E9"/>
    <w:rsid w:val="00070359"/>
    <w:rsid w:val="0007213B"/>
    <w:rsid w:val="00097961"/>
    <w:rsid w:val="000A245D"/>
    <w:rsid w:val="000C38A8"/>
    <w:rsid w:val="00105CC9"/>
    <w:rsid w:val="00120AF8"/>
    <w:rsid w:val="00125436"/>
    <w:rsid w:val="00131185"/>
    <w:rsid w:val="0013453C"/>
    <w:rsid w:val="00160D50"/>
    <w:rsid w:val="00165483"/>
    <w:rsid w:val="00176262"/>
    <w:rsid w:val="0018104D"/>
    <w:rsid w:val="001859AF"/>
    <w:rsid w:val="00195CE5"/>
    <w:rsid w:val="001A0432"/>
    <w:rsid w:val="001A58F0"/>
    <w:rsid w:val="001B2400"/>
    <w:rsid w:val="001C1146"/>
    <w:rsid w:val="001D394E"/>
    <w:rsid w:val="00214B37"/>
    <w:rsid w:val="002311E4"/>
    <w:rsid w:val="00241067"/>
    <w:rsid w:val="00243514"/>
    <w:rsid w:val="0028756F"/>
    <w:rsid w:val="00290121"/>
    <w:rsid w:val="00293810"/>
    <w:rsid w:val="00293813"/>
    <w:rsid w:val="002B1428"/>
    <w:rsid w:val="002B4DB0"/>
    <w:rsid w:val="002C02C1"/>
    <w:rsid w:val="002C609D"/>
    <w:rsid w:val="002D7B7F"/>
    <w:rsid w:val="0031004F"/>
    <w:rsid w:val="003210C5"/>
    <w:rsid w:val="00342916"/>
    <w:rsid w:val="003439D8"/>
    <w:rsid w:val="0035551F"/>
    <w:rsid w:val="00365EFA"/>
    <w:rsid w:val="003B4717"/>
    <w:rsid w:val="003B4C0F"/>
    <w:rsid w:val="004022EB"/>
    <w:rsid w:val="0041360C"/>
    <w:rsid w:val="0042197D"/>
    <w:rsid w:val="00446CCE"/>
    <w:rsid w:val="00454C54"/>
    <w:rsid w:val="00457B22"/>
    <w:rsid w:val="00461C33"/>
    <w:rsid w:val="00480F90"/>
    <w:rsid w:val="00482403"/>
    <w:rsid w:val="00485C8B"/>
    <w:rsid w:val="004C08B1"/>
    <w:rsid w:val="004E4AF7"/>
    <w:rsid w:val="004F20E0"/>
    <w:rsid w:val="004F3BBE"/>
    <w:rsid w:val="00500ECD"/>
    <w:rsid w:val="00520E56"/>
    <w:rsid w:val="00523184"/>
    <w:rsid w:val="00526F22"/>
    <w:rsid w:val="005450A4"/>
    <w:rsid w:val="00567B39"/>
    <w:rsid w:val="0057447B"/>
    <w:rsid w:val="005802A6"/>
    <w:rsid w:val="005908A5"/>
    <w:rsid w:val="005A35FF"/>
    <w:rsid w:val="005D7879"/>
    <w:rsid w:val="0060687C"/>
    <w:rsid w:val="00635AD7"/>
    <w:rsid w:val="006537A6"/>
    <w:rsid w:val="00660574"/>
    <w:rsid w:val="006639CC"/>
    <w:rsid w:val="00664711"/>
    <w:rsid w:val="006A5B2D"/>
    <w:rsid w:val="006B4CCF"/>
    <w:rsid w:val="006C25C4"/>
    <w:rsid w:val="006C74F9"/>
    <w:rsid w:val="006F1284"/>
    <w:rsid w:val="007404E7"/>
    <w:rsid w:val="00757A6A"/>
    <w:rsid w:val="0078388B"/>
    <w:rsid w:val="00787362"/>
    <w:rsid w:val="007928E7"/>
    <w:rsid w:val="007A042A"/>
    <w:rsid w:val="007A2EE1"/>
    <w:rsid w:val="007D2448"/>
    <w:rsid w:val="007F013D"/>
    <w:rsid w:val="007F0215"/>
    <w:rsid w:val="00800420"/>
    <w:rsid w:val="008011C2"/>
    <w:rsid w:val="0081063E"/>
    <w:rsid w:val="008112D6"/>
    <w:rsid w:val="008179DA"/>
    <w:rsid w:val="008259EF"/>
    <w:rsid w:val="00842CC1"/>
    <w:rsid w:val="00844185"/>
    <w:rsid w:val="008475C0"/>
    <w:rsid w:val="008525B7"/>
    <w:rsid w:val="008A2075"/>
    <w:rsid w:val="008B0FE0"/>
    <w:rsid w:val="008B2FA3"/>
    <w:rsid w:val="008C0688"/>
    <w:rsid w:val="008D7B8F"/>
    <w:rsid w:val="008E1E90"/>
    <w:rsid w:val="00906613"/>
    <w:rsid w:val="00912D59"/>
    <w:rsid w:val="00915019"/>
    <w:rsid w:val="00917057"/>
    <w:rsid w:val="009407D9"/>
    <w:rsid w:val="0095561A"/>
    <w:rsid w:val="009600C2"/>
    <w:rsid w:val="00994BC8"/>
    <w:rsid w:val="009B2673"/>
    <w:rsid w:val="009E4BF4"/>
    <w:rsid w:val="00A06E7F"/>
    <w:rsid w:val="00A21A92"/>
    <w:rsid w:val="00A23C96"/>
    <w:rsid w:val="00A56936"/>
    <w:rsid w:val="00AC16CF"/>
    <w:rsid w:val="00AC6E52"/>
    <w:rsid w:val="00AF090F"/>
    <w:rsid w:val="00AF5BD9"/>
    <w:rsid w:val="00B13936"/>
    <w:rsid w:val="00B35ECF"/>
    <w:rsid w:val="00B37094"/>
    <w:rsid w:val="00B44A11"/>
    <w:rsid w:val="00B46F47"/>
    <w:rsid w:val="00B60107"/>
    <w:rsid w:val="00B7307D"/>
    <w:rsid w:val="00BC3964"/>
    <w:rsid w:val="00BD2131"/>
    <w:rsid w:val="00C6471E"/>
    <w:rsid w:val="00C77DDD"/>
    <w:rsid w:val="00C855E2"/>
    <w:rsid w:val="00CC3CC5"/>
    <w:rsid w:val="00CE734F"/>
    <w:rsid w:val="00D0250C"/>
    <w:rsid w:val="00D025E4"/>
    <w:rsid w:val="00D1393E"/>
    <w:rsid w:val="00D2020B"/>
    <w:rsid w:val="00D2570B"/>
    <w:rsid w:val="00D3374A"/>
    <w:rsid w:val="00D679F4"/>
    <w:rsid w:val="00D70184"/>
    <w:rsid w:val="00D846F4"/>
    <w:rsid w:val="00D9440F"/>
    <w:rsid w:val="00DA3658"/>
    <w:rsid w:val="00DC1E9F"/>
    <w:rsid w:val="00DE74AA"/>
    <w:rsid w:val="00DF31F5"/>
    <w:rsid w:val="00DF6C74"/>
    <w:rsid w:val="00E01489"/>
    <w:rsid w:val="00E46343"/>
    <w:rsid w:val="00E732C3"/>
    <w:rsid w:val="00E80EEF"/>
    <w:rsid w:val="00E864E2"/>
    <w:rsid w:val="00EE6E9C"/>
    <w:rsid w:val="00F3004B"/>
    <w:rsid w:val="00F325AB"/>
    <w:rsid w:val="00F32D38"/>
    <w:rsid w:val="00F47D9E"/>
    <w:rsid w:val="00F52F98"/>
    <w:rsid w:val="00F62C74"/>
    <w:rsid w:val="00F83D61"/>
    <w:rsid w:val="00FA06FA"/>
    <w:rsid w:val="00FB1503"/>
    <w:rsid w:val="00FC48C0"/>
    <w:rsid w:val="00FC7329"/>
    <w:rsid w:val="00FD29BB"/>
    <w:rsid w:val="00FE342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EDD4"/>
  <w15:docId w15:val="{5C30440B-B0F8-41EF-B6EB-6AA0467D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6F4"/>
    <w:pPr>
      <w:spacing w:after="0" w:line="240" w:lineRule="auto"/>
      <w:jc w:val="both"/>
    </w:pPr>
    <w:rPr>
      <w:rFonts w:ascii="Times New Roman" w:eastAsia="Times New Roman" w:hAnsi="Times New Roman" w:cs="Times New Roman"/>
      <w:sz w:val="24"/>
      <w:szCs w:val="20"/>
      <w:lang w:eastAsia="fr-FR"/>
    </w:rPr>
  </w:style>
  <w:style w:type="paragraph" w:styleId="Titre4">
    <w:name w:val="heading 4"/>
    <w:basedOn w:val="Normal"/>
    <w:next w:val="Normal"/>
    <w:link w:val="Titre4Car"/>
    <w:qFormat/>
    <w:rsid w:val="00D846F4"/>
    <w:pPr>
      <w:keepNext/>
      <w:spacing w:before="240" w:after="60"/>
      <w:jc w:val="left"/>
      <w:outlineLvl w:val="3"/>
    </w:pPr>
    <w:rPr>
      <w:b/>
      <w:bCs/>
      <w:sz w:val="28"/>
      <w:szCs w:val="28"/>
    </w:rPr>
  </w:style>
  <w:style w:type="paragraph" w:styleId="Titre5">
    <w:name w:val="heading 5"/>
    <w:basedOn w:val="Normal"/>
    <w:next w:val="Normal"/>
    <w:link w:val="Titre5Car"/>
    <w:qFormat/>
    <w:rsid w:val="00D846F4"/>
    <w:pPr>
      <w:keepNext/>
      <w:spacing w:before="600"/>
      <w:outlineLvl w:val="4"/>
    </w:pPr>
    <w:rPr>
      <w:rFonts w:ascii="Arial" w:hAnsi="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D846F4"/>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D846F4"/>
    <w:rPr>
      <w:rFonts w:ascii="Arial" w:eastAsia="Times New Roman" w:hAnsi="Arial" w:cs="Times New Roman"/>
      <w:b/>
      <w:sz w:val="20"/>
      <w:szCs w:val="20"/>
      <w:lang w:eastAsia="fr-FR"/>
    </w:rPr>
  </w:style>
  <w:style w:type="paragraph" w:styleId="En-tte">
    <w:name w:val="header"/>
    <w:basedOn w:val="Normal"/>
    <w:link w:val="En-tteCar"/>
    <w:rsid w:val="00D846F4"/>
    <w:pPr>
      <w:tabs>
        <w:tab w:val="center" w:pos="4536"/>
        <w:tab w:val="right" w:pos="9072"/>
      </w:tabs>
    </w:pPr>
  </w:style>
  <w:style w:type="character" w:customStyle="1" w:styleId="En-tteCar">
    <w:name w:val="En-tête Car"/>
    <w:basedOn w:val="Policepardfaut"/>
    <w:link w:val="En-tte"/>
    <w:rsid w:val="00D846F4"/>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D846F4"/>
    <w:pPr>
      <w:tabs>
        <w:tab w:val="center" w:pos="4536"/>
        <w:tab w:val="right" w:pos="9072"/>
      </w:tabs>
    </w:pPr>
  </w:style>
  <w:style w:type="character" w:customStyle="1" w:styleId="PieddepageCar">
    <w:name w:val="Pied de page Car"/>
    <w:basedOn w:val="Policepardfaut"/>
    <w:link w:val="Pieddepage"/>
    <w:uiPriority w:val="99"/>
    <w:rsid w:val="00D846F4"/>
    <w:rPr>
      <w:rFonts w:ascii="Times New Roman" w:eastAsia="Times New Roman" w:hAnsi="Times New Roman" w:cs="Times New Roman"/>
      <w:sz w:val="24"/>
      <w:szCs w:val="20"/>
      <w:lang w:eastAsia="fr-FR"/>
    </w:rPr>
  </w:style>
  <w:style w:type="paragraph" w:customStyle="1" w:styleId="RATitrePolyActe">
    <w:name w:val="RA_Titre_PolyActe"/>
    <w:basedOn w:val="Normal"/>
    <w:rsid w:val="00D846F4"/>
    <w:pPr>
      <w:jc w:val="center"/>
    </w:pPr>
    <w:rPr>
      <w:b/>
      <w:caps/>
      <w:sz w:val="28"/>
    </w:rPr>
  </w:style>
  <w:style w:type="character" w:styleId="Numrodepage">
    <w:name w:val="page number"/>
    <w:basedOn w:val="Policepardfaut"/>
    <w:rsid w:val="00D846F4"/>
  </w:style>
  <w:style w:type="paragraph" w:customStyle="1" w:styleId="P3">
    <w:name w:val="P3"/>
    <w:basedOn w:val="Normal"/>
    <w:rsid w:val="00D846F4"/>
    <w:pPr>
      <w:keepNext/>
      <w:autoSpaceDE w:val="0"/>
      <w:autoSpaceDN w:val="0"/>
      <w:adjustRightInd w:val="0"/>
      <w:spacing w:before="120" w:after="120"/>
      <w:ind w:firstLine="567"/>
    </w:pPr>
    <w:rPr>
      <w:szCs w:val="24"/>
    </w:rPr>
  </w:style>
  <w:style w:type="paragraph" w:styleId="Corpsdetexte">
    <w:name w:val="Body Text"/>
    <w:basedOn w:val="Normal"/>
    <w:link w:val="CorpsdetexteCar"/>
    <w:rsid w:val="00D846F4"/>
    <w:pPr>
      <w:ind w:right="4"/>
    </w:pPr>
    <w:rPr>
      <w:rFonts w:ascii="Tms Rmn" w:hAnsi="Tms Rmn"/>
      <w:color w:val="000000"/>
      <w:lang w:val="en-GB"/>
    </w:rPr>
  </w:style>
  <w:style w:type="character" w:customStyle="1" w:styleId="CorpsdetexteCar">
    <w:name w:val="Corps de texte Car"/>
    <w:basedOn w:val="Policepardfaut"/>
    <w:link w:val="Corpsdetexte"/>
    <w:rsid w:val="00D846F4"/>
    <w:rPr>
      <w:rFonts w:ascii="Tms Rmn" w:eastAsia="Times New Roman" w:hAnsi="Tms Rmn" w:cs="Times New Roman"/>
      <w:color w:val="000000"/>
      <w:sz w:val="24"/>
      <w:szCs w:val="20"/>
      <w:lang w:val="en-GB" w:eastAsia="fr-FR"/>
    </w:rPr>
  </w:style>
  <w:style w:type="character" w:styleId="Accentuation">
    <w:name w:val="Emphasis"/>
    <w:qFormat/>
    <w:rsid w:val="00D846F4"/>
    <w:rPr>
      <w:i/>
      <w:iCs/>
    </w:rPr>
  </w:style>
  <w:style w:type="paragraph" w:customStyle="1" w:styleId="Corpsdetexte31">
    <w:name w:val="Corps de texte 31"/>
    <w:basedOn w:val="Normal"/>
    <w:rsid w:val="00D846F4"/>
    <w:rPr>
      <w:rFonts w:ascii="Arial" w:hAnsi="Arial"/>
      <w:sz w:val="22"/>
    </w:rPr>
  </w:style>
  <w:style w:type="paragraph" w:customStyle="1" w:styleId="Item1">
    <w:name w:val="Item1"/>
    <w:basedOn w:val="Normal"/>
    <w:rsid w:val="00D846F4"/>
    <w:pPr>
      <w:keepNext/>
      <w:keepLines/>
      <w:tabs>
        <w:tab w:val="left" w:pos="360"/>
      </w:tabs>
      <w:spacing w:before="120"/>
    </w:pPr>
    <w:rPr>
      <w:rFonts w:ascii="Times" w:hAnsi="Times"/>
    </w:rPr>
  </w:style>
  <w:style w:type="paragraph" w:styleId="NormalWeb">
    <w:name w:val="Normal (Web)"/>
    <w:basedOn w:val="Normal"/>
    <w:rsid w:val="00D846F4"/>
    <w:pPr>
      <w:spacing w:before="100" w:beforeAutospacing="1" w:after="100" w:afterAutospacing="1"/>
      <w:jc w:val="left"/>
    </w:pPr>
    <w:rPr>
      <w:szCs w:val="24"/>
    </w:rPr>
  </w:style>
  <w:style w:type="character" w:styleId="Lienhypertexte">
    <w:name w:val="Hyperlink"/>
    <w:rsid w:val="00D846F4"/>
    <w:rPr>
      <w:color w:val="0000FF"/>
      <w:u w:val="single"/>
    </w:rPr>
  </w:style>
  <w:style w:type="paragraph" w:styleId="Paragraphedeliste">
    <w:name w:val="List Paragraph"/>
    <w:basedOn w:val="Normal"/>
    <w:uiPriority w:val="34"/>
    <w:qFormat/>
    <w:rsid w:val="00D846F4"/>
    <w:pPr>
      <w:ind w:left="708"/>
    </w:pPr>
  </w:style>
  <w:style w:type="character" w:customStyle="1" w:styleId="txt">
    <w:name w:val="txt"/>
    <w:rsid w:val="00D846F4"/>
  </w:style>
  <w:style w:type="paragraph" w:styleId="Corpsdetexte2">
    <w:name w:val="Body Text 2"/>
    <w:basedOn w:val="Normal"/>
    <w:link w:val="Corpsdetexte2Car"/>
    <w:rsid w:val="00D846F4"/>
    <w:pPr>
      <w:spacing w:after="120" w:line="480" w:lineRule="auto"/>
      <w:jc w:val="left"/>
    </w:pPr>
    <w:rPr>
      <w:rFonts w:ascii="Calibri" w:eastAsia="Calibri" w:hAnsi="Calibri"/>
      <w:sz w:val="22"/>
      <w:szCs w:val="22"/>
      <w:lang w:eastAsia="en-US"/>
    </w:rPr>
  </w:style>
  <w:style w:type="character" w:customStyle="1" w:styleId="Corpsdetexte2Car">
    <w:name w:val="Corps de texte 2 Car"/>
    <w:basedOn w:val="Policepardfaut"/>
    <w:link w:val="Corpsdetexte2"/>
    <w:rsid w:val="00D846F4"/>
    <w:rPr>
      <w:rFonts w:ascii="Calibri" w:eastAsia="Calibri" w:hAnsi="Calibri" w:cs="Times New Roman"/>
    </w:rPr>
  </w:style>
  <w:style w:type="paragraph" w:customStyle="1" w:styleId="Style1">
    <w:name w:val="Style 1"/>
    <w:basedOn w:val="Normal"/>
    <w:rsid w:val="00D846F4"/>
    <w:rPr>
      <w:rFonts w:ascii="Arial" w:hAnsi="Arial"/>
      <w:sz w:val="20"/>
    </w:rPr>
  </w:style>
  <w:style w:type="paragraph" w:customStyle="1" w:styleId="nospacing">
    <w:name w:val="nospacing"/>
    <w:basedOn w:val="Normal"/>
    <w:rsid w:val="00D846F4"/>
    <w:pPr>
      <w:spacing w:before="100" w:beforeAutospacing="1" w:after="100" w:afterAutospacing="1"/>
      <w:jc w:val="left"/>
    </w:pPr>
    <w:rPr>
      <w:szCs w:val="24"/>
    </w:rPr>
  </w:style>
  <w:style w:type="paragraph" w:customStyle="1" w:styleId="StyleStyleTitre1LatinBookAntiqua11ptCentrGauche">
    <w:name w:val="Style Style Titre 1 + (Latin) Book Antiqua 11 pt + Centré Gauche :..."/>
    <w:basedOn w:val="Normal"/>
    <w:rsid w:val="00D846F4"/>
    <w:pPr>
      <w:keepNext/>
      <w:spacing w:before="240" w:after="60" w:line="276" w:lineRule="auto"/>
      <w:jc w:val="center"/>
      <w:outlineLvl w:val="0"/>
    </w:pPr>
    <w:rPr>
      <w:rFonts w:ascii="Trebuchet MS" w:hAnsi="Trebuchet MS"/>
      <w:b/>
      <w:bCs/>
      <w:kern w:val="32"/>
      <w:sz w:val="22"/>
      <w:lang w:eastAsia="en-US"/>
    </w:rPr>
  </w:style>
  <w:style w:type="paragraph" w:customStyle="1" w:styleId="StyleStyleStyleTitre1LatinBookAntiqua11ptCentrG">
    <w:name w:val="Style Style Style Titre 1 + (Latin) Book Antiqua 11 pt + Centré + G..."/>
    <w:basedOn w:val="Normal"/>
    <w:rsid w:val="00D846F4"/>
    <w:pPr>
      <w:keepNext/>
      <w:numPr>
        <w:numId w:val="8"/>
      </w:numPr>
      <w:spacing w:before="240" w:after="60" w:line="276" w:lineRule="auto"/>
      <w:jc w:val="left"/>
      <w:outlineLvl w:val="0"/>
    </w:pPr>
    <w:rPr>
      <w:rFonts w:ascii="Trebuchet MS" w:hAnsi="Trebuchet MS"/>
      <w:b/>
      <w:bCs/>
      <w:kern w:val="32"/>
      <w:sz w:val="20"/>
      <w:lang w:eastAsia="en-US"/>
    </w:rPr>
  </w:style>
  <w:style w:type="paragraph" w:styleId="Textedebulles">
    <w:name w:val="Balloon Text"/>
    <w:basedOn w:val="Normal"/>
    <w:link w:val="TextedebullesCar"/>
    <w:uiPriority w:val="99"/>
    <w:semiHidden/>
    <w:unhideWhenUsed/>
    <w:rsid w:val="00F325AB"/>
    <w:rPr>
      <w:rFonts w:ascii="Tahoma" w:hAnsi="Tahoma" w:cs="Tahoma"/>
      <w:sz w:val="16"/>
      <w:szCs w:val="16"/>
    </w:rPr>
  </w:style>
  <w:style w:type="character" w:customStyle="1" w:styleId="TextedebullesCar">
    <w:name w:val="Texte de bulles Car"/>
    <w:basedOn w:val="Policepardfaut"/>
    <w:link w:val="Textedebulles"/>
    <w:uiPriority w:val="99"/>
    <w:semiHidden/>
    <w:rsid w:val="00F325AB"/>
    <w:rPr>
      <w:rFonts w:ascii="Tahoma" w:eastAsia="Times New Roman" w:hAnsi="Tahoma" w:cs="Tahoma"/>
      <w:sz w:val="16"/>
      <w:szCs w:val="16"/>
      <w:lang w:eastAsia="fr-FR"/>
    </w:rPr>
  </w:style>
  <w:style w:type="paragraph" w:customStyle="1" w:styleId="Corpsdetexte32">
    <w:name w:val="Corps de texte 32"/>
    <w:basedOn w:val="Normal"/>
    <w:rsid w:val="00D0250C"/>
    <w:rPr>
      <w:rFonts w:ascii="Arial" w:hAnsi="Arial"/>
      <w:sz w:val="22"/>
    </w:rPr>
  </w:style>
  <w:style w:type="paragraph" w:styleId="Rvision">
    <w:name w:val="Revision"/>
    <w:hidden/>
    <w:uiPriority w:val="99"/>
    <w:semiHidden/>
    <w:rsid w:val="00290121"/>
    <w:pPr>
      <w:spacing w:after="0" w:line="240" w:lineRule="auto"/>
    </w:pPr>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kko-internationa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f@kko-international.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ko-international.com" TargetMode="External"/><Relationship Id="rId4" Type="http://schemas.openxmlformats.org/officeDocument/2006/relationships/webSettings" Target="webSettings.xml"/><Relationship Id="rId9" Type="http://schemas.openxmlformats.org/officeDocument/2006/relationships/hyperlink" Target="mailto:sf@kko-international.co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2002</Words>
  <Characters>11011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Vianney Birot</dc:creator>
  <cp:lastModifiedBy>p3 op</cp:lastModifiedBy>
  <cp:revision>2</cp:revision>
  <cp:lastPrinted>2022-05-11T17:01:00Z</cp:lastPrinted>
  <dcterms:created xsi:type="dcterms:W3CDTF">2022-06-13T13:57:00Z</dcterms:created>
  <dcterms:modified xsi:type="dcterms:W3CDTF">2022-06-13T13:57:00Z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8056351.2</vt:lpwstr>
  </property>
</Properties>
</file>